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7192" w14:textId="77777777" w:rsidR="003930F2" w:rsidRDefault="00B553A2" w:rsidP="00BE01A2">
      <w:pPr>
        <w:pStyle w:val="Heading1"/>
        <w:spacing w:before="0" w:line="240" w:lineRule="auto"/>
        <w:jc w:val="center"/>
      </w:pPr>
      <w:r>
        <w:t xml:space="preserve">Training </w:t>
      </w:r>
      <w:bookmarkStart w:id="0" w:name="_GoBack"/>
      <w:r>
        <w:t>Facilitators</w:t>
      </w:r>
      <w:bookmarkEnd w:id="0"/>
      <w:r>
        <w:t xml:space="preserve"> </w:t>
      </w:r>
      <w:r w:rsidR="003930F2">
        <w:t>Resource</w:t>
      </w:r>
    </w:p>
    <w:p w14:paraId="0ED70383" w14:textId="2E8D81FB" w:rsidR="003930F2" w:rsidRDefault="003930F2" w:rsidP="00BE01A2">
      <w:pPr>
        <w:pStyle w:val="Heading1"/>
        <w:spacing w:before="0" w:line="240" w:lineRule="auto"/>
        <w:jc w:val="center"/>
      </w:pPr>
      <w:r>
        <w:t>for</w:t>
      </w:r>
    </w:p>
    <w:p w14:paraId="01D43929" w14:textId="71F35B21" w:rsidR="00CF5F45" w:rsidRDefault="003930F2" w:rsidP="00BE01A2">
      <w:pPr>
        <w:pStyle w:val="Heading1"/>
        <w:spacing w:before="0" w:line="240" w:lineRule="auto"/>
        <w:jc w:val="center"/>
      </w:pPr>
      <w:r>
        <w:t>C</w:t>
      </w:r>
      <w:r w:rsidR="00A066AD">
        <w:t>ommunity-Port Collaboration</w:t>
      </w:r>
      <w:r>
        <w:t xml:space="preserve"> Toolkit</w:t>
      </w:r>
    </w:p>
    <w:p w14:paraId="166EE6D5" w14:textId="379A4821" w:rsidR="00B553A2" w:rsidRDefault="00B553A2" w:rsidP="00B553A2"/>
    <w:p w14:paraId="34CDF028" w14:textId="5555DE6C" w:rsidR="00B553A2" w:rsidRDefault="00B553A2" w:rsidP="00556905">
      <w:pPr>
        <w:pStyle w:val="Heading2"/>
      </w:pPr>
      <w:r>
        <w:t>Getting Started</w:t>
      </w:r>
    </w:p>
    <w:p w14:paraId="5A42C939" w14:textId="517D2E46" w:rsidR="00B553A2" w:rsidRDefault="00556905" w:rsidP="2270DD9C">
      <w:r>
        <w:t>This training is designed for several purposes, and therefor</w:t>
      </w:r>
      <w:r w:rsidR="000D4605">
        <w:t>e</w:t>
      </w:r>
      <w:r>
        <w:t xml:space="preserve"> can be tailored to a range of audiences and training duration</w:t>
      </w:r>
      <w:r w:rsidR="000D08EE">
        <w:t>. Community leaders, port operators, local governments and other goods movement industries are key audiences for this training. T</w:t>
      </w:r>
      <w:r>
        <w:t>he training support</w:t>
      </w:r>
      <w:r w:rsidR="000D08EE">
        <w:t>s</w:t>
      </w:r>
      <w:r>
        <w:t xml:space="preserve"> ports and communities with on-the-ground technical assistance</w:t>
      </w:r>
      <w:r w:rsidR="00981FD5">
        <w:t xml:space="preserve"> and provid</w:t>
      </w:r>
      <w:r w:rsidR="000D08EE">
        <w:t>es</w:t>
      </w:r>
      <w:r w:rsidR="00981FD5">
        <w:t xml:space="preserve"> in-depth training on how to integrate the tools into a larger planning and relationship-building process</w:t>
      </w:r>
      <w:r>
        <w:t xml:space="preserve">. </w:t>
      </w:r>
      <w:r w:rsidR="000D08EE">
        <w:t>EPA or other Federal staff may also use the training to introduce the</w:t>
      </w:r>
      <w:hyperlink r:id="rId9">
        <w:r w:rsidR="000D08EE" w:rsidRPr="2270DD9C">
          <w:rPr>
            <w:rStyle w:val="Hyperlink"/>
          </w:rPr>
          <w:t xml:space="preserve"> c</w:t>
        </w:r>
        <w:r w:rsidR="000D08EE">
          <w:rPr>
            <w:rStyle w:val="Hyperlink"/>
          </w:rPr>
          <w:t>ommunity-port collaboration</w:t>
        </w:r>
        <w:r w:rsidR="000D08EE" w:rsidRPr="2270DD9C">
          <w:rPr>
            <w:rStyle w:val="Hyperlink"/>
          </w:rPr>
          <w:t xml:space="preserve"> tool</w:t>
        </w:r>
        <w:r w:rsidR="000D08EE">
          <w:rPr>
            <w:rStyle w:val="Hyperlink"/>
          </w:rPr>
          <w:t>kit</w:t>
        </w:r>
      </w:hyperlink>
      <w:r w:rsidR="000D08EE">
        <w:t xml:space="preserve"> to EPA staff and agency partners and invite them to consider if there are community-port relations that would benefit from these tools in their region. </w:t>
      </w:r>
      <w:r w:rsidR="000D08EE">
        <w:rPr>
          <w:rFonts w:ascii="Calibri" w:eastAsia="Calibri" w:hAnsi="Calibri" w:cs="Calibri"/>
        </w:rPr>
        <w:t>T</w:t>
      </w:r>
      <w:r w:rsidR="178BBD61" w:rsidRPr="2270DD9C">
        <w:rPr>
          <w:rFonts w:ascii="Calibri" w:eastAsia="Calibri" w:hAnsi="Calibri" w:cs="Calibri"/>
        </w:rPr>
        <w:t>he following considerations</w:t>
      </w:r>
      <w:r w:rsidR="178BBD61">
        <w:t xml:space="preserve"> are </w:t>
      </w:r>
      <w:r w:rsidR="00981FD5">
        <w:t>recommend</w:t>
      </w:r>
      <w:r w:rsidR="0B25D51B">
        <w:t>ed</w:t>
      </w:r>
      <w:r w:rsidR="00981FD5">
        <w:t xml:space="preserve"> </w:t>
      </w:r>
      <w:r w:rsidR="6D9A0DCE">
        <w:t>to get</w:t>
      </w:r>
      <w:r w:rsidR="00981FD5">
        <w:t xml:space="preserve"> started</w:t>
      </w:r>
      <w:r w:rsidR="2288E1A1">
        <w:t>:</w:t>
      </w:r>
    </w:p>
    <w:p w14:paraId="439C65A2" w14:textId="1E96640F" w:rsidR="00B553A2" w:rsidRDefault="00B553A2" w:rsidP="00B553A2">
      <w:pPr>
        <w:pStyle w:val="ListParagraph"/>
        <w:numPr>
          <w:ilvl w:val="0"/>
          <w:numId w:val="1"/>
        </w:numPr>
      </w:pPr>
      <w:r>
        <w:t xml:space="preserve">Training </w:t>
      </w:r>
      <w:r w:rsidR="00981FD5">
        <w:t xml:space="preserve">is designed </w:t>
      </w:r>
      <w:r>
        <w:t>for 15-30 participants</w:t>
      </w:r>
      <w:r w:rsidR="00981FD5">
        <w:t xml:space="preserve"> to allow for interactive discussion.</w:t>
      </w:r>
    </w:p>
    <w:p w14:paraId="1E8BEB29" w14:textId="673CED37" w:rsidR="00B553A2" w:rsidRDefault="00B553A2" w:rsidP="00B553A2">
      <w:pPr>
        <w:pStyle w:val="ListParagraph"/>
        <w:numPr>
          <w:ilvl w:val="0"/>
          <w:numId w:val="1"/>
        </w:numPr>
      </w:pPr>
      <w:r>
        <w:t xml:space="preserve">Provide a copy of the tool </w:t>
      </w:r>
      <w:r w:rsidR="00981FD5">
        <w:t xml:space="preserve">to each participant </w:t>
      </w:r>
      <w:r>
        <w:t>for reference during the training</w:t>
      </w:r>
      <w:r w:rsidR="1BD0E5D4">
        <w:t>, if possible</w:t>
      </w:r>
      <w:r w:rsidR="00981FD5">
        <w:t>.</w:t>
      </w:r>
    </w:p>
    <w:p w14:paraId="423DDBFD" w14:textId="45CE49B8" w:rsidR="02B8DB29" w:rsidRDefault="02B8DB29" w:rsidP="2270DD9C">
      <w:pPr>
        <w:pStyle w:val="ListParagraph"/>
        <w:numPr>
          <w:ilvl w:val="0"/>
          <w:numId w:val="1"/>
        </w:numPr>
      </w:pPr>
      <w:r>
        <w:t>Locate the PowerPoint training modules [</w:t>
      </w:r>
      <w:hyperlink r:id="rId10" w:history="1">
        <w:r w:rsidR="00D65761" w:rsidRPr="00D65761">
          <w:rPr>
            <w:rStyle w:val="Hyperlink"/>
          </w:rPr>
          <w:t>https://www</w:t>
        </w:r>
        <w:r w:rsidR="00D65761" w:rsidRPr="00B168C1">
          <w:rPr>
            <w:rStyle w:val="Hyperlink"/>
          </w:rPr>
          <w:t>.epa.gov/community-port-collaboration/community-port-collaboration-toolkit</w:t>
        </w:r>
      </w:hyperlink>
      <w:r>
        <w:t>] and choose slides for presenti</w:t>
      </w:r>
      <w:r w:rsidR="759AE510">
        <w:t xml:space="preserve">ng, if </w:t>
      </w:r>
      <w:r w:rsidR="1E58980B">
        <w:t>desir</w:t>
      </w:r>
      <w:r w:rsidR="759AE510">
        <w:t>ed.</w:t>
      </w:r>
    </w:p>
    <w:p w14:paraId="557D878A" w14:textId="5CFF9DF5" w:rsidR="00981FD5" w:rsidRDefault="00981FD5" w:rsidP="00B553A2">
      <w:pPr>
        <w:pStyle w:val="ListParagraph"/>
        <w:numPr>
          <w:ilvl w:val="0"/>
          <w:numId w:val="1"/>
        </w:numPr>
      </w:pPr>
      <w:r>
        <w:t>The training will be most beneficial as part of a larger, longer-term technical assistance process to support community-port partners in identifying joint priorities and actions to improve relations and the quality of life of near-port communities.</w:t>
      </w:r>
    </w:p>
    <w:p w14:paraId="555BA3E2" w14:textId="729B2D59" w:rsidR="00981FD5" w:rsidRPr="00B553A2" w:rsidRDefault="007541E1" w:rsidP="00B553A2">
      <w:pPr>
        <w:pStyle w:val="ListParagraph"/>
        <w:numPr>
          <w:ilvl w:val="0"/>
          <w:numId w:val="1"/>
        </w:numPr>
      </w:pPr>
      <w:r>
        <w:t>In some cases, p</w:t>
      </w:r>
      <w:r w:rsidR="00981FD5">
        <w:t xml:space="preserve">articipants </w:t>
      </w:r>
      <w:r w:rsidR="5BEB0E61">
        <w:t>might</w:t>
      </w:r>
      <w:r w:rsidR="00981FD5">
        <w:t xml:space="preserve"> benefit from a neutral</w:t>
      </w:r>
      <w:r w:rsidR="00877CA3">
        <w:t xml:space="preserve">, </w:t>
      </w:r>
      <w:r w:rsidR="00981FD5">
        <w:t xml:space="preserve">third party trainer </w:t>
      </w:r>
      <w:r w:rsidR="00877CA3">
        <w:t>who</w:t>
      </w:r>
      <w:r w:rsidR="00981FD5">
        <w:t xml:space="preserve"> is not a part of </w:t>
      </w:r>
      <w:r>
        <w:t>government</w:t>
      </w:r>
      <w:r w:rsidR="00981FD5">
        <w:t xml:space="preserve">, the community or the port/goods movement industry, and </w:t>
      </w:r>
      <w:r w:rsidR="00877CA3">
        <w:t xml:space="preserve">who </w:t>
      </w:r>
      <w:r w:rsidR="00981FD5">
        <w:t>can facilitate action-planning and trust</w:t>
      </w:r>
      <w:r w:rsidR="00877CA3">
        <w:t>-</w:t>
      </w:r>
      <w:r w:rsidR="00981FD5">
        <w:t>building among the parties as an integral part of the training.</w:t>
      </w:r>
    </w:p>
    <w:p w14:paraId="1E329DE0" w14:textId="6E075494" w:rsidR="00B553A2" w:rsidRDefault="00B553A2" w:rsidP="00556905">
      <w:pPr>
        <w:pStyle w:val="Heading2"/>
      </w:pPr>
      <w:r>
        <w:t>Audience</w:t>
      </w:r>
    </w:p>
    <w:p w14:paraId="2A449F50" w14:textId="2CE570FB" w:rsidR="00B553A2" w:rsidRDefault="00B553A2">
      <w:r>
        <w:t xml:space="preserve">The training modules can be tailored for different audiences and a range of training duration. The tables below </w:t>
      </w:r>
      <w:r w:rsidR="008D4CE7">
        <w:t xml:space="preserve">serve as </w:t>
      </w:r>
      <w:r>
        <w:t xml:space="preserve">a </w:t>
      </w:r>
      <w:r w:rsidR="008D4CE7">
        <w:t>refe</w:t>
      </w:r>
      <w:r>
        <w:t>rence to help select modules and training durations.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3235"/>
        <w:gridCol w:w="6300"/>
      </w:tblGrid>
      <w:tr w:rsidR="005D75F3" w14:paraId="54D06067" w14:textId="0C908DB7" w:rsidTr="00942AD7">
        <w:trPr>
          <w:jc w:val="center"/>
        </w:trPr>
        <w:tc>
          <w:tcPr>
            <w:tcW w:w="3235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040AD8E7" w14:textId="5CF4454A" w:rsidR="005D75F3" w:rsidRPr="007243F5" w:rsidRDefault="005D75F3" w:rsidP="007243F5">
            <w:pPr>
              <w:jc w:val="center"/>
              <w:rPr>
                <w:b/>
                <w:bCs/>
              </w:rPr>
            </w:pPr>
            <w:r w:rsidRPr="007243F5">
              <w:rPr>
                <w:b/>
                <w:bCs/>
              </w:rPr>
              <w:t>Audience</w:t>
            </w:r>
          </w:p>
        </w:tc>
        <w:tc>
          <w:tcPr>
            <w:tcW w:w="6300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2F2FB9CF" w14:textId="37443EDC" w:rsidR="005D75F3" w:rsidRPr="007243F5" w:rsidRDefault="005D75F3" w:rsidP="007243F5">
            <w:pPr>
              <w:jc w:val="center"/>
              <w:rPr>
                <w:b/>
                <w:bCs/>
              </w:rPr>
            </w:pPr>
            <w:r w:rsidRPr="007243F5">
              <w:rPr>
                <w:b/>
                <w:bCs/>
              </w:rPr>
              <w:t>Priority Tools</w:t>
            </w:r>
          </w:p>
        </w:tc>
      </w:tr>
      <w:tr w:rsidR="005D75F3" w14:paraId="0DC40C5B" w14:textId="1E2F4F64" w:rsidTr="00942AD7">
        <w:trPr>
          <w:jc w:val="center"/>
        </w:trPr>
        <w:tc>
          <w:tcPr>
            <w:tcW w:w="3235" w:type="dxa"/>
            <w:tcBorders>
              <w:top w:val="single" w:sz="18" w:space="0" w:color="auto"/>
            </w:tcBorders>
            <w:vAlign w:val="center"/>
          </w:tcPr>
          <w:p w14:paraId="6E917EFD" w14:textId="77777777" w:rsidR="005D75F3" w:rsidRDefault="005D75F3" w:rsidP="00CD5D4E">
            <w:r>
              <w:t>Community leaders</w:t>
            </w:r>
          </w:p>
        </w:tc>
        <w:tc>
          <w:tcPr>
            <w:tcW w:w="6300" w:type="dxa"/>
            <w:tcBorders>
              <w:top w:val="single" w:sz="18" w:space="0" w:color="auto"/>
            </w:tcBorders>
          </w:tcPr>
          <w:p w14:paraId="3FC05F53" w14:textId="0CC33912" w:rsidR="005D75F3" w:rsidRDefault="005D75F3" w:rsidP="00CD5D4E">
            <w:r>
              <w:t>Ports Primer</w:t>
            </w:r>
            <w:r w:rsidR="00C90B80">
              <w:t xml:space="preserve"> for Communities</w:t>
            </w:r>
          </w:p>
          <w:p w14:paraId="6DD893C4" w14:textId="0DBF1EC2" w:rsidR="005D75F3" w:rsidRDefault="005D75F3" w:rsidP="00CD5D4E">
            <w:r>
              <w:t>Community Action Roadmap (preferred by most pilot communities)</w:t>
            </w:r>
          </w:p>
          <w:p w14:paraId="5EC199EF" w14:textId="27BF4288" w:rsidR="005D75F3" w:rsidRDefault="58B049B8" w:rsidP="00CD5D4E">
            <w:r>
              <w:t>E</w:t>
            </w:r>
            <w:r w:rsidR="00C90B80">
              <w:t xml:space="preserve">nvironmental </w:t>
            </w:r>
            <w:r>
              <w:t>J</w:t>
            </w:r>
            <w:r w:rsidR="00C90B80">
              <w:t>ustice</w:t>
            </w:r>
            <w:r>
              <w:t xml:space="preserve"> Primer for Ports (</w:t>
            </w:r>
            <w:r w:rsidR="289F507E">
              <w:t>optional)</w:t>
            </w:r>
          </w:p>
        </w:tc>
      </w:tr>
      <w:tr w:rsidR="005D75F3" w14:paraId="4E1FE269" w14:textId="352AC7B9" w:rsidTr="007243F5">
        <w:trPr>
          <w:jc w:val="center"/>
        </w:trPr>
        <w:tc>
          <w:tcPr>
            <w:tcW w:w="3235" w:type="dxa"/>
          </w:tcPr>
          <w:p w14:paraId="4E8F58D4" w14:textId="33AE5B56" w:rsidR="005D75F3" w:rsidRDefault="005D75F3" w:rsidP="00CD5D4E">
            <w:r>
              <w:t>Port</w:t>
            </w:r>
            <w:r w:rsidR="007541E1">
              <w:t xml:space="preserve"> operators</w:t>
            </w:r>
            <w:r>
              <w:t xml:space="preserve"> and </w:t>
            </w:r>
            <w:r w:rsidR="007541E1">
              <w:t xml:space="preserve">others in </w:t>
            </w:r>
            <w:r>
              <w:t>goods movement industries</w:t>
            </w:r>
          </w:p>
        </w:tc>
        <w:tc>
          <w:tcPr>
            <w:tcW w:w="6300" w:type="dxa"/>
            <w:vAlign w:val="center"/>
          </w:tcPr>
          <w:p w14:paraId="6C4F9B59" w14:textId="034CA833" w:rsidR="005D75F3" w:rsidRDefault="005D75F3" w:rsidP="00CD5D4E">
            <w:r>
              <w:t>E</w:t>
            </w:r>
            <w:r w:rsidR="00C90B80">
              <w:t xml:space="preserve">nvironmental </w:t>
            </w:r>
            <w:r>
              <w:t>J</w:t>
            </w:r>
            <w:r w:rsidR="00C90B80">
              <w:t>ustice</w:t>
            </w:r>
            <w:r>
              <w:t xml:space="preserve"> Primer for Ports </w:t>
            </w:r>
          </w:p>
        </w:tc>
      </w:tr>
      <w:tr w:rsidR="005D75F3" w14:paraId="24B4D7E2" w14:textId="5FA47F63" w:rsidTr="007243F5">
        <w:trPr>
          <w:jc w:val="center"/>
        </w:trPr>
        <w:tc>
          <w:tcPr>
            <w:tcW w:w="3235" w:type="dxa"/>
            <w:vAlign w:val="center"/>
          </w:tcPr>
          <w:p w14:paraId="32F30BF5" w14:textId="02595176" w:rsidR="005D75F3" w:rsidRDefault="005D75F3">
            <w:r>
              <w:t>Local government</w:t>
            </w:r>
          </w:p>
        </w:tc>
        <w:tc>
          <w:tcPr>
            <w:tcW w:w="6300" w:type="dxa"/>
          </w:tcPr>
          <w:p w14:paraId="094CDB95" w14:textId="6E8D49FC" w:rsidR="005D75F3" w:rsidRDefault="005D75F3" w:rsidP="00B553A2">
            <w:r>
              <w:t>Ports Primer</w:t>
            </w:r>
            <w:r w:rsidR="00C90B80">
              <w:t xml:space="preserve"> for Communities</w:t>
            </w:r>
          </w:p>
          <w:p w14:paraId="6490A849" w14:textId="77777777" w:rsidR="005D75F3" w:rsidRDefault="005D75F3" w:rsidP="00B553A2">
            <w:r>
              <w:t>Community Action Roadmap</w:t>
            </w:r>
          </w:p>
          <w:p w14:paraId="311E8AC0" w14:textId="0F319944" w:rsidR="005D75F3" w:rsidRDefault="005D75F3" w:rsidP="00B553A2">
            <w:r>
              <w:t>E</w:t>
            </w:r>
            <w:r w:rsidR="00C90B80">
              <w:t xml:space="preserve">nvironmental </w:t>
            </w:r>
            <w:r>
              <w:t>J</w:t>
            </w:r>
            <w:r w:rsidR="00C90B80">
              <w:t>ustic</w:t>
            </w:r>
            <w:r w:rsidR="007350CD">
              <w:t>e</w:t>
            </w:r>
            <w:r>
              <w:t xml:space="preserve"> Primer for Ports</w:t>
            </w:r>
          </w:p>
        </w:tc>
      </w:tr>
      <w:tr w:rsidR="00B168C1" w14:paraId="1D64C2C4" w14:textId="77777777" w:rsidTr="007243F5">
        <w:trPr>
          <w:jc w:val="center"/>
        </w:trPr>
        <w:tc>
          <w:tcPr>
            <w:tcW w:w="3235" w:type="dxa"/>
            <w:vAlign w:val="center"/>
          </w:tcPr>
          <w:p w14:paraId="50005C8B" w14:textId="77777777" w:rsidR="00B168C1" w:rsidRDefault="00B168C1" w:rsidP="00296EF0">
            <w:r>
              <w:t>EPA or other Federal staff</w:t>
            </w:r>
          </w:p>
        </w:tc>
        <w:tc>
          <w:tcPr>
            <w:tcW w:w="6300" w:type="dxa"/>
          </w:tcPr>
          <w:p w14:paraId="38EB2773" w14:textId="77777777" w:rsidR="00B168C1" w:rsidRDefault="00B168C1" w:rsidP="00296EF0">
            <w:r>
              <w:t>Ports Primer for Communities</w:t>
            </w:r>
          </w:p>
          <w:p w14:paraId="30553049" w14:textId="77777777" w:rsidR="00B168C1" w:rsidRDefault="00B168C1" w:rsidP="00296EF0">
            <w:r>
              <w:t>Community Action Roadmap</w:t>
            </w:r>
          </w:p>
          <w:p w14:paraId="4F2A1B43" w14:textId="77777777" w:rsidR="00B168C1" w:rsidRDefault="00B168C1" w:rsidP="00296EF0">
            <w:r>
              <w:t>Environmental Justice Primer for Ports</w:t>
            </w:r>
          </w:p>
        </w:tc>
      </w:tr>
    </w:tbl>
    <w:p w14:paraId="6673D5FA" w14:textId="77777777" w:rsidR="007243F5" w:rsidRDefault="007243F5" w:rsidP="00556905">
      <w:pPr>
        <w:pStyle w:val="Heading2"/>
      </w:pPr>
    </w:p>
    <w:p w14:paraId="5EF66B35" w14:textId="4DC0546E" w:rsidR="00C27224" w:rsidRDefault="00C27224" w:rsidP="007243F5">
      <w:pPr>
        <w:pStyle w:val="Heading2"/>
        <w:spacing w:after="120"/>
      </w:pPr>
      <w:r>
        <w:t>Training Duration Options for Each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4680"/>
      </w:tblGrid>
      <w:tr w:rsidR="00C27224" w14:paraId="30C4CDC7" w14:textId="77777777" w:rsidTr="00942AD7">
        <w:tc>
          <w:tcPr>
            <w:tcW w:w="2245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34FE3859" w14:textId="48FAE71F" w:rsidR="00C27224" w:rsidRPr="007243F5" w:rsidRDefault="00C27224" w:rsidP="00942AD7">
            <w:pPr>
              <w:jc w:val="center"/>
              <w:rPr>
                <w:b/>
                <w:bCs/>
              </w:rPr>
            </w:pPr>
            <w:r w:rsidRPr="007243F5">
              <w:rPr>
                <w:b/>
                <w:bCs/>
              </w:rPr>
              <w:t>Duration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17C47285" w14:textId="30D66919" w:rsidR="00C27224" w:rsidRPr="007243F5" w:rsidRDefault="00C27224" w:rsidP="007243F5">
            <w:pPr>
              <w:jc w:val="center"/>
              <w:rPr>
                <w:b/>
                <w:bCs/>
              </w:rPr>
            </w:pPr>
            <w:r w:rsidRPr="007243F5">
              <w:rPr>
                <w:b/>
                <w:bCs/>
              </w:rPr>
              <w:t>Content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0F026906" w14:textId="5B312A8F" w:rsidR="00C27224" w:rsidRPr="007243F5" w:rsidRDefault="00C27224" w:rsidP="007243F5">
            <w:pPr>
              <w:jc w:val="center"/>
              <w:rPr>
                <w:b/>
                <w:bCs/>
              </w:rPr>
            </w:pPr>
            <w:r w:rsidRPr="007243F5">
              <w:rPr>
                <w:b/>
                <w:bCs/>
              </w:rPr>
              <w:t>Outcome</w:t>
            </w:r>
          </w:p>
        </w:tc>
      </w:tr>
      <w:tr w:rsidR="00C27224" w14:paraId="072FF5AB" w14:textId="77777777" w:rsidTr="00942AD7"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628FB0E7" w14:textId="2C8AA3B3" w:rsidR="00C27224" w:rsidRDefault="0090105A" w:rsidP="00CD5D4E">
            <w:r>
              <w:t>2-hour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4EE76E3E" w14:textId="51176D5A" w:rsidR="00C27224" w:rsidRDefault="00C27224" w:rsidP="00CD5D4E">
            <w:r>
              <w:t>Introduction to Tool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14:paraId="1F7D236E" w14:textId="580770B9" w:rsidR="00C27224" w:rsidRDefault="00C27224" w:rsidP="00CD5D4E">
            <w:r>
              <w:t xml:space="preserve">A high-level introduction to the tool(s) for participants to consider whether to engage more deeply in a partnership building process </w:t>
            </w:r>
          </w:p>
        </w:tc>
      </w:tr>
      <w:tr w:rsidR="00C27224" w14:paraId="37A7B4AD" w14:textId="77777777" w:rsidTr="007243F5">
        <w:tc>
          <w:tcPr>
            <w:tcW w:w="2245" w:type="dxa"/>
            <w:vAlign w:val="center"/>
          </w:tcPr>
          <w:p w14:paraId="41138229" w14:textId="5DB6C5AB" w:rsidR="00C27224" w:rsidRDefault="00C27224" w:rsidP="00CD5D4E">
            <w:r>
              <w:t>4-hour</w:t>
            </w:r>
          </w:p>
        </w:tc>
        <w:tc>
          <w:tcPr>
            <w:tcW w:w="2340" w:type="dxa"/>
            <w:vAlign w:val="center"/>
          </w:tcPr>
          <w:p w14:paraId="41FF9F98" w14:textId="4F68E80E" w:rsidR="00C27224" w:rsidRDefault="00C27224" w:rsidP="00CD5D4E">
            <w:r>
              <w:t xml:space="preserve">Review of Tool with Interactive Exercises </w:t>
            </w:r>
          </w:p>
          <w:p w14:paraId="069A7392" w14:textId="77777777" w:rsidR="00C27224" w:rsidRDefault="00C27224" w:rsidP="00CD5D4E">
            <w:r>
              <w:t>Introduction to Tools</w:t>
            </w:r>
          </w:p>
        </w:tc>
        <w:tc>
          <w:tcPr>
            <w:tcW w:w="4680" w:type="dxa"/>
          </w:tcPr>
          <w:p w14:paraId="1E0CCF05" w14:textId="656D0337" w:rsidR="00C27224" w:rsidRDefault="00556905" w:rsidP="00CD5D4E">
            <w:r>
              <w:t xml:space="preserve">An in-depth review of the tool content with time for individual and group interactive exercises to explore more deeply how each concept might apply to a specific community-port context. </w:t>
            </w:r>
          </w:p>
        </w:tc>
      </w:tr>
      <w:tr w:rsidR="00C27224" w14:paraId="68B69307" w14:textId="77777777" w:rsidTr="007243F5">
        <w:tc>
          <w:tcPr>
            <w:tcW w:w="2245" w:type="dxa"/>
            <w:vAlign w:val="center"/>
          </w:tcPr>
          <w:p w14:paraId="04B4FA5B" w14:textId="47CA2170" w:rsidR="00C27224" w:rsidRDefault="00C27224" w:rsidP="00CD5D4E">
            <w:r>
              <w:t>8-hour</w:t>
            </w:r>
          </w:p>
        </w:tc>
        <w:tc>
          <w:tcPr>
            <w:tcW w:w="2340" w:type="dxa"/>
            <w:vAlign w:val="center"/>
          </w:tcPr>
          <w:p w14:paraId="31857CEB" w14:textId="63BF7766" w:rsidR="00C27224" w:rsidRDefault="00C27224" w:rsidP="00CD5D4E">
            <w:r>
              <w:t>Review of Tool with Interactive and C</w:t>
            </w:r>
            <w:r w:rsidR="00A066AD">
              <w:t xml:space="preserve">ollaboration </w:t>
            </w:r>
            <w:r>
              <w:t xml:space="preserve">Building Exercises </w:t>
            </w:r>
          </w:p>
        </w:tc>
        <w:tc>
          <w:tcPr>
            <w:tcW w:w="4680" w:type="dxa"/>
          </w:tcPr>
          <w:p w14:paraId="0BFC0560" w14:textId="27D67B54" w:rsidR="00C27224" w:rsidRDefault="00556905" w:rsidP="00CD5D4E">
            <w:r>
              <w:t>An in-depth review of the tool content with time for individual and group interactive exercises to explore more deeply how each concept might apply to a specific community-port context. In addition, this longer duration could accommodate a site tour of the port and/or neighborhood or c</w:t>
            </w:r>
            <w:r w:rsidR="00A066AD">
              <w:t xml:space="preserve">ollaboration </w:t>
            </w:r>
            <w:r>
              <w:t>building training such as collaborative problem solving.</w:t>
            </w:r>
          </w:p>
        </w:tc>
      </w:tr>
    </w:tbl>
    <w:p w14:paraId="07F1CE9A" w14:textId="5A25F8A5" w:rsidR="00B553A2" w:rsidRDefault="00B553A2"/>
    <w:p w14:paraId="3ED44161" w14:textId="64511AF7" w:rsidR="00981FD5" w:rsidRDefault="00981FD5" w:rsidP="00981FD5">
      <w:pPr>
        <w:pStyle w:val="Heading2"/>
      </w:pPr>
      <w:r>
        <w:t>Sample Agendas</w:t>
      </w:r>
    </w:p>
    <w:p w14:paraId="16846B12" w14:textId="45DCDBE6" w:rsidR="00981FD5" w:rsidRDefault="00981FD5">
      <w:r>
        <w:t xml:space="preserve">The following pages include </w:t>
      </w:r>
      <w:r w:rsidR="00515D61">
        <w:t xml:space="preserve">an agenda for an 8-hour training that covers </w:t>
      </w:r>
      <w:r w:rsidR="000B0C07">
        <w:t xml:space="preserve">an introduction to </w:t>
      </w:r>
      <w:r w:rsidR="00462CCE">
        <w:t xml:space="preserve">all three tools in </w:t>
      </w:r>
      <w:r w:rsidR="000B0C07">
        <w:t xml:space="preserve">the </w:t>
      </w:r>
      <w:r w:rsidR="00462CCE">
        <w:t>Community-</w:t>
      </w:r>
      <w:r w:rsidR="000B0C07">
        <w:t>Port Collaborati</w:t>
      </w:r>
      <w:r w:rsidR="00CB42A7">
        <w:t>on</w:t>
      </w:r>
      <w:r w:rsidR="000B0C07">
        <w:t xml:space="preserve"> Toolkit plus</w:t>
      </w:r>
      <w:r w:rsidR="00515D61">
        <w:t xml:space="preserve"> </w:t>
      </w:r>
      <w:r>
        <w:t xml:space="preserve">sample </w:t>
      </w:r>
      <w:r w:rsidR="00515D61">
        <w:t xml:space="preserve">agendas for </w:t>
      </w:r>
      <w:r w:rsidR="003A20F5">
        <w:t xml:space="preserve">2-hour, 4-hour and 8-hour training </w:t>
      </w:r>
      <w:r>
        <w:t xml:space="preserve">agendas for </w:t>
      </w:r>
      <w:r w:rsidR="00515D61">
        <w:t>the E</w:t>
      </w:r>
      <w:r w:rsidR="00C90B80">
        <w:t xml:space="preserve">nvironmental </w:t>
      </w:r>
      <w:r w:rsidR="00515D61">
        <w:t>J</w:t>
      </w:r>
      <w:r w:rsidR="00C90B80">
        <w:t>ustice</w:t>
      </w:r>
      <w:r w:rsidR="00515D61">
        <w:t xml:space="preserve"> Primer</w:t>
      </w:r>
      <w:r w:rsidR="00C90B80">
        <w:t xml:space="preserve"> for Ports</w:t>
      </w:r>
      <w:r w:rsidR="00515D61">
        <w:t xml:space="preserve"> that can be adapted for the other two tools. </w:t>
      </w:r>
    </w:p>
    <w:p w14:paraId="6DFFA894" w14:textId="03F338F8" w:rsidR="0090105A" w:rsidRDefault="0090105A"/>
    <w:p w14:paraId="1A559771" w14:textId="77777777" w:rsidR="003B212E" w:rsidRDefault="0090105A">
      <w:pPr>
        <w:sectPr w:rsidR="003B212E" w:rsidSect="00B058CC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br w:type="page"/>
      </w:r>
    </w:p>
    <w:p w14:paraId="79B1FB71" w14:textId="655118E7" w:rsidR="0090105A" w:rsidRDefault="003A20F5" w:rsidP="00EF5F13">
      <w:pPr>
        <w:pStyle w:val="Heading2"/>
        <w:spacing w:after="120"/>
        <w:jc w:val="center"/>
      </w:pPr>
      <w:r>
        <w:lastRenderedPageBreak/>
        <w:t>Full Day</w:t>
      </w:r>
      <w:r w:rsidR="0090105A">
        <w:t xml:space="preserve"> Training Agenda</w:t>
      </w:r>
      <w:r>
        <w:t xml:space="preserve"> – All </w:t>
      </w:r>
      <w:r w:rsidR="496606B1">
        <w:t>Three</w:t>
      </w:r>
      <w:r>
        <w:t xml:space="preserve"> Tools</w:t>
      </w:r>
    </w:p>
    <w:p w14:paraId="06184629" w14:textId="13035CD5" w:rsidR="0090105A" w:rsidRPr="0079735A" w:rsidRDefault="003A20F5" w:rsidP="0090105A">
      <w:pPr>
        <w:pStyle w:val="ListParagraph"/>
        <w:numPr>
          <w:ilvl w:val="0"/>
          <w:numId w:val="2"/>
        </w:numPr>
        <w:rPr>
          <w:b/>
          <w:bCs/>
        </w:rPr>
      </w:pPr>
      <w:r w:rsidRPr="0079735A">
        <w:rPr>
          <w:b/>
          <w:bCs/>
        </w:rPr>
        <w:t xml:space="preserve">Welcome and </w:t>
      </w:r>
      <w:r w:rsidR="0090105A" w:rsidRPr="0079735A">
        <w:rPr>
          <w:b/>
          <w:bCs/>
        </w:rPr>
        <w:t>Introductions (</w:t>
      </w:r>
      <w:r w:rsidRPr="0079735A">
        <w:rPr>
          <w:b/>
          <w:bCs/>
        </w:rPr>
        <w:t>3</w:t>
      </w:r>
      <w:r w:rsidR="0090105A" w:rsidRPr="0079735A">
        <w:rPr>
          <w:b/>
          <w:bCs/>
        </w:rPr>
        <w:t>0 min)</w:t>
      </w:r>
    </w:p>
    <w:p w14:paraId="2ACF8D97" w14:textId="0A35B833" w:rsidR="00515D61" w:rsidRDefault="00515D61" w:rsidP="0090105A">
      <w:pPr>
        <w:pStyle w:val="ListParagraph"/>
        <w:numPr>
          <w:ilvl w:val="1"/>
          <w:numId w:val="2"/>
        </w:numPr>
      </w:pPr>
      <w:r>
        <w:t>Welcome: review training purpose and agenda</w:t>
      </w:r>
    </w:p>
    <w:p w14:paraId="531822C0" w14:textId="107D384F" w:rsidR="0090105A" w:rsidRDefault="00515D61" w:rsidP="0090105A">
      <w:pPr>
        <w:pStyle w:val="ListParagraph"/>
        <w:numPr>
          <w:ilvl w:val="1"/>
          <w:numId w:val="2"/>
        </w:numPr>
      </w:pPr>
      <w:r>
        <w:t>Introductions: s</w:t>
      </w:r>
      <w:r w:rsidR="0090105A">
        <w:t>hare name, affiliation and your interest community-port relationship building</w:t>
      </w:r>
      <w:r w:rsidR="00462CCE">
        <w:t xml:space="preserve"> or other collaboration efforts</w:t>
      </w:r>
    </w:p>
    <w:p w14:paraId="3B106493" w14:textId="7E5D0D15" w:rsidR="0090105A" w:rsidRDefault="00515D61" w:rsidP="0090105A">
      <w:pPr>
        <w:pStyle w:val="ListParagraph"/>
        <w:numPr>
          <w:ilvl w:val="1"/>
          <w:numId w:val="2"/>
        </w:numPr>
      </w:pPr>
      <w:r>
        <w:t xml:space="preserve">Ensure everyone has copies of </w:t>
      </w:r>
      <w:r w:rsidR="00A07587">
        <w:t xml:space="preserve">resources </w:t>
      </w:r>
      <w:r>
        <w:t>to reference during the training</w:t>
      </w:r>
    </w:p>
    <w:p w14:paraId="2E6CEC2A" w14:textId="77777777" w:rsidR="0090105A" w:rsidRDefault="0090105A" w:rsidP="0090105A">
      <w:pPr>
        <w:pStyle w:val="ListParagraph"/>
        <w:ind w:left="1440"/>
      </w:pPr>
    </w:p>
    <w:p w14:paraId="520692B1" w14:textId="036D9C22" w:rsidR="003A20F5" w:rsidRPr="0079735A" w:rsidRDefault="008D4CE7" w:rsidP="0090105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Community-Port Collaboration Pilot Projects</w:t>
      </w:r>
      <w:r w:rsidR="00462CCE">
        <w:rPr>
          <w:b/>
          <w:bCs/>
        </w:rPr>
        <w:t>: Overview and Lessons Learned</w:t>
      </w:r>
      <w:r w:rsidR="003A20F5" w:rsidRPr="0079735A">
        <w:rPr>
          <w:b/>
          <w:bCs/>
        </w:rPr>
        <w:t xml:space="preserve"> (</w:t>
      </w:r>
      <w:r w:rsidR="00515D61" w:rsidRPr="0079735A">
        <w:rPr>
          <w:b/>
          <w:bCs/>
        </w:rPr>
        <w:t>6</w:t>
      </w:r>
      <w:r w:rsidR="003A20F5" w:rsidRPr="0079735A">
        <w:rPr>
          <w:b/>
          <w:bCs/>
        </w:rPr>
        <w:t>0 min)</w:t>
      </w:r>
    </w:p>
    <w:p w14:paraId="5EF45329" w14:textId="211F56AB" w:rsidR="00515D61" w:rsidRDefault="00515D61" w:rsidP="00515D61">
      <w:pPr>
        <w:pStyle w:val="ListParagraph"/>
        <w:numPr>
          <w:ilvl w:val="1"/>
          <w:numId w:val="2"/>
        </w:numPr>
      </w:pPr>
      <w:r>
        <w:t>Project background and goals</w:t>
      </w:r>
    </w:p>
    <w:p w14:paraId="1EDC8F1A" w14:textId="77B588D5" w:rsidR="00515D61" w:rsidRDefault="00515D61" w:rsidP="00515D61">
      <w:pPr>
        <w:pStyle w:val="ListParagraph"/>
        <w:numPr>
          <w:ilvl w:val="1"/>
          <w:numId w:val="2"/>
        </w:numPr>
      </w:pPr>
      <w:r>
        <w:t>Steps for getting started</w:t>
      </w:r>
      <w:r w:rsidR="008D4CE7">
        <w:t xml:space="preserve"> and lessons learned</w:t>
      </w:r>
    </w:p>
    <w:p w14:paraId="2A3E6356" w14:textId="1138CBB8" w:rsidR="003B212E" w:rsidRPr="007D0AD1" w:rsidRDefault="003B212E" w:rsidP="007D0AD1">
      <w:pPr>
        <w:ind w:left="360"/>
        <w:rPr>
          <w:i/>
          <w:iCs/>
        </w:rPr>
      </w:pPr>
      <w:r w:rsidRPr="007D0AD1">
        <w:rPr>
          <w:i/>
          <w:iCs/>
        </w:rPr>
        <w:t>Break (15 min)</w:t>
      </w:r>
    </w:p>
    <w:p w14:paraId="013205B4" w14:textId="4C5084CD" w:rsidR="003A20F5" w:rsidRPr="00E94A5C" w:rsidRDefault="003A20F5" w:rsidP="003A20F5">
      <w:pPr>
        <w:pStyle w:val="ListParagraph"/>
        <w:numPr>
          <w:ilvl w:val="0"/>
          <w:numId w:val="2"/>
        </w:numPr>
        <w:rPr>
          <w:b/>
          <w:bCs/>
        </w:rPr>
      </w:pPr>
      <w:r w:rsidRPr="00E94A5C">
        <w:rPr>
          <w:b/>
          <w:bCs/>
        </w:rPr>
        <w:t xml:space="preserve">Module </w:t>
      </w:r>
      <w:r w:rsidR="008A4B70">
        <w:rPr>
          <w:b/>
          <w:bCs/>
        </w:rPr>
        <w:t>1</w:t>
      </w:r>
      <w:r w:rsidRPr="00E94A5C">
        <w:rPr>
          <w:b/>
          <w:bCs/>
        </w:rPr>
        <w:t>: Ports Primer</w:t>
      </w:r>
      <w:r w:rsidR="00C90B80">
        <w:rPr>
          <w:b/>
          <w:bCs/>
        </w:rPr>
        <w:t xml:space="preserve"> for Communities</w:t>
      </w:r>
      <w:r w:rsidRPr="00E94A5C">
        <w:rPr>
          <w:b/>
          <w:bCs/>
        </w:rPr>
        <w:t xml:space="preserve"> (90 min)</w:t>
      </w:r>
    </w:p>
    <w:p w14:paraId="2F1C8EA5" w14:textId="09ECF29F" w:rsidR="003A20F5" w:rsidRDefault="00515D61" w:rsidP="00165F82">
      <w:pPr>
        <w:pStyle w:val="ListParagraph"/>
        <w:numPr>
          <w:ilvl w:val="1"/>
          <w:numId w:val="2"/>
        </w:numPr>
      </w:pPr>
      <w:r>
        <w:t xml:space="preserve">Overview </w:t>
      </w:r>
      <w:r w:rsidR="00165F82">
        <w:t>Presentation (30</w:t>
      </w:r>
      <w:r w:rsidR="00C90B80">
        <w:t xml:space="preserve"> min</w:t>
      </w:r>
      <w:r w:rsidR="00165F82">
        <w:t>)</w:t>
      </w:r>
    </w:p>
    <w:p w14:paraId="0D0EA533" w14:textId="33E8C6FC" w:rsidR="00165F82" w:rsidRDefault="00165F82" w:rsidP="00165F82">
      <w:pPr>
        <w:pStyle w:val="ListParagraph"/>
        <w:numPr>
          <w:ilvl w:val="1"/>
          <w:numId w:val="2"/>
        </w:numPr>
      </w:pPr>
      <w:r>
        <w:t>Breakout Discussions (30</w:t>
      </w:r>
      <w:r w:rsidR="001F779D">
        <w:t xml:space="preserve"> min</w:t>
      </w:r>
      <w:r>
        <w:t>)</w:t>
      </w:r>
    </w:p>
    <w:p w14:paraId="5B23566C" w14:textId="586406EC" w:rsidR="00165F82" w:rsidRDefault="00165F82" w:rsidP="00165F82">
      <w:pPr>
        <w:pStyle w:val="ListParagraph"/>
        <w:numPr>
          <w:ilvl w:val="2"/>
          <w:numId w:val="2"/>
        </w:numPr>
      </w:pPr>
      <w:r>
        <w:t xml:space="preserve">Review up to </w:t>
      </w:r>
      <w:r w:rsidR="2B5E1EBF">
        <w:t>two</w:t>
      </w:r>
      <w:r>
        <w:t xml:space="preserve"> case studies each to identify elements of success </w:t>
      </w:r>
    </w:p>
    <w:p w14:paraId="40E98F18" w14:textId="226407B2" w:rsidR="00165F82" w:rsidRPr="00515D61" w:rsidRDefault="00165F82" w:rsidP="0079735A">
      <w:pPr>
        <w:pStyle w:val="ListParagraph"/>
        <w:numPr>
          <w:ilvl w:val="1"/>
          <w:numId w:val="2"/>
        </w:numPr>
      </w:pPr>
      <w:r>
        <w:t>Report Back and Recap (30 min)</w:t>
      </w:r>
    </w:p>
    <w:p w14:paraId="56E62447" w14:textId="2A22B83D" w:rsidR="003A20F5" w:rsidRPr="003A20F5" w:rsidRDefault="003A20F5" w:rsidP="2270DD9C">
      <w:pPr>
        <w:ind w:left="360"/>
        <w:rPr>
          <w:i/>
          <w:iCs/>
        </w:rPr>
      </w:pPr>
      <w:r w:rsidRPr="2270DD9C">
        <w:rPr>
          <w:i/>
          <w:iCs/>
        </w:rPr>
        <w:t xml:space="preserve">Working Lunch (60 min) </w:t>
      </w:r>
      <w:r w:rsidR="0079735A" w:rsidRPr="2270DD9C">
        <w:rPr>
          <w:i/>
          <w:iCs/>
        </w:rPr>
        <w:t>R</w:t>
      </w:r>
      <w:r w:rsidRPr="2270DD9C">
        <w:rPr>
          <w:i/>
          <w:iCs/>
        </w:rPr>
        <w:t xml:space="preserve">ecommend </w:t>
      </w:r>
      <w:r w:rsidR="0079735A" w:rsidRPr="2270DD9C">
        <w:rPr>
          <w:i/>
          <w:iCs/>
        </w:rPr>
        <w:t>having a working</w:t>
      </w:r>
      <w:r w:rsidRPr="2270DD9C">
        <w:rPr>
          <w:i/>
          <w:iCs/>
        </w:rPr>
        <w:t xml:space="preserve"> lunch and encourag</w:t>
      </w:r>
      <w:r w:rsidR="0079735A" w:rsidRPr="2270DD9C">
        <w:rPr>
          <w:i/>
          <w:iCs/>
        </w:rPr>
        <w:t>e</w:t>
      </w:r>
      <w:r w:rsidRPr="2270DD9C">
        <w:rPr>
          <w:i/>
          <w:iCs/>
        </w:rPr>
        <w:t xml:space="preserve"> participants to sit with those they know less well</w:t>
      </w:r>
      <w:r w:rsidR="0079735A" w:rsidRPr="2270DD9C">
        <w:rPr>
          <w:i/>
          <w:iCs/>
        </w:rPr>
        <w:t xml:space="preserve"> and discuss</w:t>
      </w:r>
      <w:r w:rsidRPr="2270DD9C">
        <w:rPr>
          <w:i/>
          <w:iCs/>
        </w:rPr>
        <w:t xml:space="preserve"> ice-breaker discussion questions to identify commonalities among participants</w:t>
      </w:r>
      <w:r w:rsidR="0079735A" w:rsidRPr="2270DD9C">
        <w:rPr>
          <w:i/>
          <w:iCs/>
        </w:rPr>
        <w:t>. For example, if it is a</w:t>
      </w:r>
      <w:r w:rsidR="00462CCE">
        <w:rPr>
          <w:i/>
          <w:iCs/>
        </w:rPr>
        <w:t xml:space="preserve"> government agency-</w:t>
      </w:r>
      <w:r w:rsidR="0079735A" w:rsidRPr="2270DD9C">
        <w:rPr>
          <w:i/>
          <w:iCs/>
        </w:rPr>
        <w:t xml:space="preserve">focused training, questions could </w:t>
      </w:r>
      <w:r w:rsidR="00462CCE">
        <w:rPr>
          <w:i/>
          <w:iCs/>
        </w:rPr>
        <w:t xml:space="preserve">include </w:t>
      </w:r>
      <w:r w:rsidR="0079735A" w:rsidRPr="2270DD9C">
        <w:rPr>
          <w:i/>
          <w:iCs/>
        </w:rPr>
        <w:t>what communities they could see using these tools; what challenges/opportunities they are thinking about; and what questions they have for the facilitator as the training continues.</w:t>
      </w:r>
    </w:p>
    <w:p w14:paraId="31E24C54" w14:textId="49B7A312" w:rsidR="003A20F5" w:rsidRPr="00E94A5C" w:rsidRDefault="003A20F5" w:rsidP="00515D61">
      <w:pPr>
        <w:pStyle w:val="ListParagraph"/>
        <w:numPr>
          <w:ilvl w:val="0"/>
          <w:numId w:val="2"/>
        </w:numPr>
        <w:rPr>
          <w:b/>
          <w:bCs/>
        </w:rPr>
      </w:pPr>
      <w:r w:rsidRPr="00E94A5C">
        <w:rPr>
          <w:b/>
          <w:bCs/>
        </w:rPr>
        <w:t xml:space="preserve">Module </w:t>
      </w:r>
      <w:r w:rsidR="008A4B70">
        <w:rPr>
          <w:b/>
          <w:bCs/>
        </w:rPr>
        <w:t>3</w:t>
      </w:r>
      <w:r w:rsidRPr="00E94A5C">
        <w:rPr>
          <w:b/>
          <w:bCs/>
        </w:rPr>
        <w:t>: E</w:t>
      </w:r>
      <w:r w:rsidR="00C90B80">
        <w:rPr>
          <w:b/>
          <w:bCs/>
        </w:rPr>
        <w:t xml:space="preserve">nvironmental </w:t>
      </w:r>
      <w:r w:rsidRPr="00E94A5C">
        <w:rPr>
          <w:b/>
          <w:bCs/>
        </w:rPr>
        <w:t>J</w:t>
      </w:r>
      <w:r w:rsidR="00C90B80">
        <w:rPr>
          <w:b/>
          <w:bCs/>
        </w:rPr>
        <w:t>ustice</w:t>
      </w:r>
      <w:r w:rsidRPr="00E94A5C">
        <w:rPr>
          <w:b/>
          <w:bCs/>
        </w:rPr>
        <w:t xml:space="preserve"> Primer</w:t>
      </w:r>
      <w:r w:rsidR="00C90B80">
        <w:rPr>
          <w:b/>
          <w:bCs/>
        </w:rPr>
        <w:t xml:space="preserve"> for Ports</w:t>
      </w:r>
      <w:r w:rsidRPr="00E94A5C">
        <w:rPr>
          <w:b/>
          <w:bCs/>
        </w:rPr>
        <w:t xml:space="preserve"> (90 min)</w:t>
      </w:r>
    </w:p>
    <w:p w14:paraId="5A6D04FA" w14:textId="6EA739A7" w:rsidR="0090105A" w:rsidRDefault="0090105A" w:rsidP="003A20F5">
      <w:pPr>
        <w:pStyle w:val="ListParagraph"/>
        <w:numPr>
          <w:ilvl w:val="1"/>
          <w:numId w:val="2"/>
        </w:numPr>
      </w:pPr>
      <w:r>
        <w:t>Defining Environmental Justice (</w:t>
      </w:r>
      <w:r w:rsidR="00165F82">
        <w:t>15</w:t>
      </w:r>
      <w:r>
        <w:t xml:space="preserve"> min)</w:t>
      </w:r>
    </w:p>
    <w:p w14:paraId="41873982" w14:textId="7A20D060" w:rsidR="0090105A" w:rsidRDefault="00515D61" w:rsidP="0079735A">
      <w:pPr>
        <w:pStyle w:val="ListParagraph"/>
        <w:numPr>
          <w:ilvl w:val="2"/>
          <w:numId w:val="2"/>
        </w:numPr>
        <w:ind w:left="1620"/>
      </w:pPr>
      <w:r>
        <w:t>Discussion</w:t>
      </w:r>
      <w:r w:rsidR="0090105A">
        <w:t>: how do you define environmental justice?</w:t>
      </w:r>
    </w:p>
    <w:p w14:paraId="16FE32B0" w14:textId="7678FE8E" w:rsidR="0090105A" w:rsidRDefault="0090105A" w:rsidP="003A20F5">
      <w:pPr>
        <w:pStyle w:val="ListParagraph"/>
        <w:numPr>
          <w:ilvl w:val="1"/>
          <w:numId w:val="2"/>
        </w:numPr>
      </w:pPr>
      <w:r>
        <w:t>Community Engagement Principles (</w:t>
      </w:r>
      <w:r w:rsidR="00165F82">
        <w:t>15</w:t>
      </w:r>
      <w:r>
        <w:t xml:space="preserve"> min)</w:t>
      </w:r>
    </w:p>
    <w:p w14:paraId="0379B6F2" w14:textId="7E2EF698" w:rsidR="00515D61" w:rsidRDefault="00515D61" w:rsidP="0079735A">
      <w:pPr>
        <w:pStyle w:val="ListParagraph"/>
        <w:numPr>
          <w:ilvl w:val="2"/>
          <w:numId w:val="2"/>
        </w:numPr>
        <w:ind w:left="1620"/>
      </w:pPr>
      <w:r>
        <w:t xml:space="preserve">Discussion: </w:t>
      </w:r>
      <w:r w:rsidR="00E94A5C">
        <w:t xml:space="preserve">explore </w:t>
      </w:r>
      <w:r w:rsidR="0079735A">
        <w:t>the difference between “check the box” community engagement vs. deeper engagement? What experiences have participants had with each approach? What are some of the barriers</w:t>
      </w:r>
      <w:r w:rsidR="00E94A5C">
        <w:t>/</w:t>
      </w:r>
      <w:r w:rsidR="0079735A">
        <w:t>benefits of a deeper engagement process</w:t>
      </w:r>
      <w:r>
        <w:t>?</w:t>
      </w:r>
    </w:p>
    <w:p w14:paraId="6D37C1E8" w14:textId="4F276966" w:rsidR="0090105A" w:rsidRDefault="0090105A" w:rsidP="003A20F5">
      <w:pPr>
        <w:pStyle w:val="ListParagraph"/>
        <w:numPr>
          <w:ilvl w:val="1"/>
          <w:numId w:val="2"/>
        </w:numPr>
      </w:pPr>
      <w:r>
        <w:t>Good Neighbor Roadmap (</w:t>
      </w:r>
      <w:r w:rsidR="00165F82">
        <w:t>15</w:t>
      </w:r>
      <w:r>
        <w:t>min)</w:t>
      </w:r>
    </w:p>
    <w:p w14:paraId="61029016" w14:textId="0B58B107" w:rsidR="00165F82" w:rsidRDefault="00165F82" w:rsidP="0079735A">
      <w:pPr>
        <w:pStyle w:val="ListParagraph"/>
        <w:numPr>
          <w:ilvl w:val="2"/>
          <w:numId w:val="2"/>
        </w:numPr>
        <w:ind w:left="1620"/>
      </w:pPr>
      <w:r>
        <w:t>Breakout Discussions: workshop how steps apply to a specific community (30</w:t>
      </w:r>
      <w:r w:rsidR="00C90B80">
        <w:t xml:space="preserve"> min</w:t>
      </w:r>
      <w:r>
        <w:t>)</w:t>
      </w:r>
    </w:p>
    <w:p w14:paraId="3A5E898A" w14:textId="5C9D6090" w:rsidR="00165F82" w:rsidRDefault="00165F82" w:rsidP="00165F82">
      <w:pPr>
        <w:pStyle w:val="ListParagraph"/>
        <w:numPr>
          <w:ilvl w:val="1"/>
          <w:numId w:val="2"/>
        </w:numPr>
      </w:pPr>
      <w:r>
        <w:t>Report Back and Recap (15 min)</w:t>
      </w:r>
    </w:p>
    <w:p w14:paraId="1C8E5233" w14:textId="77B17475" w:rsidR="003B212E" w:rsidRPr="007D0AD1" w:rsidRDefault="003B212E" w:rsidP="007D0AD1">
      <w:pPr>
        <w:ind w:left="360"/>
        <w:rPr>
          <w:i/>
          <w:iCs/>
        </w:rPr>
      </w:pPr>
      <w:r w:rsidRPr="007D0AD1">
        <w:rPr>
          <w:i/>
          <w:iCs/>
        </w:rPr>
        <w:t>Break (15 min)</w:t>
      </w:r>
    </w:p>
    <w:p w14:paraId="605A247B" w14:textId="5182013A" w:rsidR="003A20F5" w:rsidRPr="00E94A5C" w:rsidRDefault="003A20F5" w:rsidP="003A20F5">
      <w:pPr>
        <w:pStyle w:val="ListParagraph"/>
        <w:numPr>
          <w:ilvl w:val="0"/>
          <w:numId w:val="2"/>
        </w:numPr>
        <w:rPr>
          <w:b/>
          <w:bCs/>
        </w:rPr>
      </w:pPr>
      <w:r w:rsidRPr="00E94A5C">
        <w:rPr>
          <w:b/>
          <w:bCs/>
        </w:rPr>
        <w:t xml:space="preserve">Module </w:t>
      </w:r>
      <w:r w:rsidR="008A4B70">
        <w:rPr>
          <w:b/>
          <w:bCs/>
        </w:rPr>
        <w:t>2</w:t>
      </w:r>
      <w:r w:rsidRPr="00E94A5C">
        <w:rPr>
          <w:b/>
          <w:bCs/>
        </w:rPr>
        <w:t>: Community Action Roadmap (90 min)</w:t>
      </w:r>
    </w:p>
    <w:p w14:paraId="7B8EA1FC" w14:textId="461F105C" w:rsidR="00515D61" w:rsidRDefault="00515D61" w:rsidP="00515D61">
      <w:pPr>
        <w:pStyle w:val="ListParagraph"/>
        <w:numPr>
          <w:ilvl w:val="1"/>
          <w:numId w:val="2"/>
        </w:numPr>
      </w:pPr>
      <w:r>
        <w:t xml:space="preserve">Overview </w:t>
      </w:r>
      <w:r w:rsidR="00165F82">
        <w:t>Presentation</w:t>
      </w:r>
      <w:r>
        <w:t xml:space="preserve"> (30 min)</w:t>
      </w:r>
    </w:p>
    <w:p w14:paraId="1CABD6F9" w14:textId="096A8D46" w:rsidR="00515D61" w:rsidRDefault="00515D61" w:rsidP="00515D61">
      <w:pPr>
        <w:pStyle w:val="ListParagraph"/>
        <w:numPr>
          <w:ilvl w:val="1"/>
          <w:numId w:val="2"/>
        </w:numPr>
      </w:pPr>
      <w:r>
        <w:t xml:space="preserve">Breakout Discussions: workshop how steps apply to </w:t>
      </w:r>
      <w:r w:rsidR="00165F82">
        <w:t xml:space="preserve">a </w:t>
      </w:r>
      <w:r>
        <w:t>specific community (30</w:t>
      </w:r>
      <w:r w:rsidR="001F779D">
        <w:t xml:space="preserve"> min</w:t>
      </w:r>
      <w:r>
        <w:t>)</w:t>
      </w:r>
    </w:p>
    <w:p w14:paraId="47968268" w14:textId="5488AA41" w:rsidR="00515D61" w:rsidRDefault="00515D61" w:rsidP="00515D61">
      <w:pPr>
        <w:pStyle w:val="ListParagraph"/>
        <w:numPr>
          <w:ilvl w:val="1"/>
          <w:numId w:val="2"/>
        </w:numPr>
      </w:pPr>
      <w:r>
        <w:t>Report Back and Recap (</w:t>
      </w:r>
      <w:r w:rsidR="00165F82">
        <w:t>3</w:t>
      </w:r>
      <w:r>
        <w:t>0 min)</w:t>
      </w:r>
    </w:p>
    <w:p w14:paraId="29C817E9" w14:textId="77777777" w:rsidR="0090105A" w:rsidRDefault="0090105A" w:rsidP="0090105A">
      <w:pPr>
        <w:pStyle w:val="ListParagraph"/>
        <w:ind w:left="1440"/>
      </w:pPr>
    </w:p>
    <w:p w14:paraId="5B8B2110" w14:textId="0B06FEF4" w:rsidR="0090105A" w:rsidRPr="00E94A5C" w:rsidRDefault="0090105A" w:rsidP="0090105A">
      <w:pPr>
        <w:pStyle w:val="ListParagraph"/>
        <w:numPr>
          <w:ilvl w:val="0"/>
          <w:numId w:val="2"/>
        </w:numPr>
        <w:rPr>
          <w:b/>
          <w:bCs/>
        </w:rPr>
      </w:pPr>
      <w:r w:rsidRPr="00E94A5C">
        <w:rPr>
          <w:b/>
          <w:bCs/>
        </w:rPr>
        <w:t>Closing (</w:t>
      </w:r>
      <w:r w:rsidR="003A20F5" w:rsidRPr="00E94A5C">
        <w:rPr>
          <w:b/>
          <w:bCs/>
        </w:rPr>
        <w:t>3</w:t>
      </w:r>
      <w:r w:rsidRPr="00E94A5C">
        <w:rPr>
          <w:b/>
          <w:bCs/>
        </w:rPr>
        <w:t>0 min)</w:t>
      </w:r>
    </w:p>
    <w:p w14:paraId="69F0D3EF" w14:textId="5CFA626D" w:rsidR="0090105A" w:rsidRDefault="0090105A" w:rsidP="0090105A">
      <w:pPr>
        <w:pStyle w:val="ListParagraph"/>
        <w:numPr>
          <w:ilvl w:val="1"/>
          <w:numId w:val="2"/>
        </w:numPr>
      </w:pPr>
      <w:r>
        <w:t>Please share one element from today’s training that you would like to learn more about or integrate in your work.</w:t>
      </w:r>
    </w:p>
    <w:p w14:paraId="76706F82" w14:textId="7502E0B9" w:rsidR="0090105A" w:rsidRDefault="0090105A" w:rsidP="0090105A">
      <w:pPr>
        <w:pStyle w:val="ListParagraph"/>
        <w:numPr>
          <w:ilvl w:val="1"/>
          <w:numId w:val="2"/>
        </w:numPr>
      </w:pPr>
      <w:r>
        <w:t>Share contact information and resources</w:t>
      </w:r>
      <w:r w:rsidR="0076786A">
        <w:t>.</w:t>
      </w:r>
    </w:p>
    <w:p w14:paraId="368D2375" w14:textId="1DB8573D" w:rsidR="003A20F5" w:rsidRDefault="003A20F5" w:rsidP="00EF5F13">
      <w:pPr>
        <w:pStyle w:val="Heading2"/>
        <w:spacing w:after="120"/>
        <w:jc w:val="center"/>
      </w:pPr>
      <w:r>
        <w:br w:type="page"/>
        <w:t>2-Hour Training Agenda – E</w:t>
      </w:r>
      <w:r w:rsidR="2CEA76C6">
        <w:t xml:space="preserve">nvironmental </w:t>
      </w:r>
      <w:r>
        <w:t>J</w:t>
      </w:r>
      <w:r w:rsidR="4C34ABDB">
        <w:t>ustice</w:t>
      </w:r>
      <w:r>
        <w:t xml:space="preserve"> Primer</w:t>
      </w:r>
      <w:r w:rsidR="003B212E">
        <w:t xml:space="preserve"> for Ports</w:t>
      </w:r>
    </w:p>
    <w:p w14:paraId="1DB8A6BC" w14:textId="77777777" w:rsidR="003A20F5" w:rsidRPr="00E94A5C" w:rsidRDefault="003A20F5" w:rsidP="003A20F5">
      <w:pPr>
        <w:pStyle w:val="ListParagraph"/>
        <w:numPr>
          <w:ilvl w:val="0"/>
          <w:numId w:val="5"/>
        </w:numPr>
        <w:rPr>
          <w:b/>
          <w:bCs/>
        </w:rPr>
      </w:pPr>
      <w:r w:rsidRPr="00E94A5C">
        <w:rPr>
          <w:b/>
          <w:bCs/>
        </w:rPr>
        <w:t>Introductions (20 min)</w:t>
      </w:r>
    </w:p>
    <w:p w14:paraId="4FE14B85" w14:textId="36A61258" w:rsidR="003A20F5" w:rsidRDefault="003A20F5" w:rsidP="003A20F5">
      <w:pPr>
        <w:pStyle w:val="ListParagraph"/>
        <w:numPr>
          <w:ilvl w:val="1"/>
          <w:numId w:val="5"/>
        </w:numPr>
      </w:pPr>
      <w:r>
        <w:t xml:space="preserve">Share name, affiliation and your interest </w:t>
      </w:r>
      <w:r w:rsidR="00462CCE">
        <w:t xml:space="preserve">in </w:t>
      </w:r>
      <w:r>
        <w:t>community-port relationship building</w:t>
      </w:r>
      <w:r w:rsidR="00462CCE">
        <w:t xml:space="preserve"> or other collaboration efforts</w:t>
      </w:r>
    </w:p>
    <w:p w14:paraId="111B0343" w14:textId="5E0F3EA6" w:rsidR="003A20F5" w:rsidRDefault="003A20F5" w:rsidP="003A20F5">
      <w:pPr>
        <w:pStyle w:val="ListParagraph"/>
        <w:numPr>
          <w:ilvl w:val="1"/>
          <w:numId w:val="5"/>
        </w:numPr>
      </w:pPr>
      <w:r>
        <w:t>Review introductory slides</w:t>
      </w:r>
      <w:r w:rsidR="00B86B3D">
        <w:t xml:space="preserve"> for Module 4</w:t>
      </w:r>
      <w:r>
        <w:t xml:space="preserve"> (1-</w:t>
      </w:r>
      <w:r w:rsidR="008A4B70">
        <w:t>7</w:t>
      </w:r>
      <w:r>
        <w:t>)</w:t>
      </w:r>
    </w:p>
    <w:p w14:paraId="5458E1ED" w14:textId="77777777" w:rsidR="003A20F5" w:rsidRDefault="003A20F5" w:rsidP="003A20F5">
      <w:pPr>
        <w:pStyle w:val="ListParagraph"/>
        <w:ind w:left="1440"/>
      </w:pPr>
    </w:p>
    <w:p w14:paraId="70E030F7" w14:textId="43F78E36" w:rsidR="003A20F5" w:rsidRPr="00E94A5C" w:rsidRDefault="003A20F5" w:rsidP="003A20F5">
      <w:pPr>
        <w:pStyle w:val="ListParagraph"/>
        <w:numPr>
          <w:ilvl w:val="0"/>
          <w:numId w:val="5"/>
        </w:numPr>
        <w:rPr>
          <w:b/>
          <w:bCs/>
        </w:rPr>
      </w:pPr>
      <w:r w:rsidRPr="00E94A5C">
        <w:rPr>
          <w:b/>
          <w:bCs/>
        </w:rPr>
        <w:t>Defining Environmental Justice (</w:t>
      </w:r>
      <w:r w:rsidR="004B1843">
        <w:rPr>
          <w:b/>
          <w:bCs/>
        </w:rPr>
        <w:t>20</w:t>
      </w:r>
      <w:r w:rsidRPr="00E94A5C">
        <w:rPr>
          <w:b/>
          <w:bCs/>
        </w:rPr>
        <w:t xml:space="preserve"> min)</w:t>
      </w:r>
    </w:p>
    <w:p w14:paraId="46A5EAE8" w14:textId="2D450817" w:rsidR="00E94A5C" w:rsidRDefault="00E94A5C" w:rsidP="00E94A5C">
      <w:pPr>
        <w:pStyle w:val="ListParagraph"/>
        <w:numPr>
          <w:ilvl w:val="1"/>
          <w:numId w:val="5"/>
        </w:numPr>
      </w:pPr>
      <w:r>
        <w:t xml:space="preserve">Slides </w:t>
      </w:r>
      <w:r w:rsidR="008A4B70">
        <w:t>8</w:t>
      </w:r>
      <w:r>
        <w:t>-1</w:t>
      </w:r>
      <w:r w:rsidR="008A4B70">
        <w:t>4</w:t>
      </w:r>
    </w:p>
    <w:p w14:paraId="63C354D6" w14:textId="246656CB" w:rsidR="003A20F5" w:rsidRDefault="00E94A5C" w:rsidP="003A20F5">
      <w:pPr>
        <w:pStyle w:val="ListParagraph"/>
        <w:numPr>
          <w:ilvl w:val="1"/>
          <w:numId w:val="5"/>
        </w:numPr>
      </w:pPr>
      <w:r>
        <w:t>Discussion</w:t>
      </w:r>
      <w:r w:rsidR="003A20F5">
        <w:t>: how do you define environmental justice?</w:t>
      </w:r>
    </w:p>
    <w:p w14:paraId="5D0D5DE6" w14:textId="77777777" w:rsidR="003A20F5" w:rsidRDefault="003A20F5" w:rsidP="003A20F5">
      <w:pPr>
        <w:pStyle w:val="ListParagraph"/>
        <w:ind w:left="1440"/>
      </w:pPr>
    </w:p>
    <w:p w14:paraId="64D8331E" w14:textId="0B17794C" w:rsidR="003A20F5" w:rsidRPr="00E94A5C" w:rsidRDefault="003A20F5" w:rsidP="003A20F5">
      <w:pPr>
        <w:pStyle w:val="ListParagraph"/>
        <w:numPr>
          <w:ilvl w:val="0"/>
          <w:numId w:val="5"/>
        </w:numPr>
        <w:rPr>
          <w:b/>
          <w:bCs/>
        </w:rPr>
      </w:pPr>
      <w:r w:rsidRPr="00E94A5C">
        <w:rPr>
          <w:b/>
          <w:bCs/>
        </w:rPr>
        <w:t>Community Engagement Principles (</w:t>
      </w:r>
      <w:r w:rsidR="004B1843">
        <w:rPr>
          <w:b/>
          <w:bCs/>
        </w:rPr>
        <w:t>20</w:t>
      </w:r>
      <w:r w:rsidRPr="00E94A5C">
        <w:rPr>
          <w:b/>
          <w:bCs/>
        </w:rPr>
        <w:t xml:space="preserve"> min)</w:t>
      </w:r>
    </w:p>
    <w:p w14:paraId="74D805A2" w14:textId="47B665A1" w:rsidR="00E94A5C" w:rsidRDefault="00E94A5C" w:rsidP="00E94A5C">
      <w:pPr>
        <w:pStyle w:val="ListParagraph"/>
        <w:numPr>
          <w:ilvl w:val="1"/>
          <w:numId w:val="5"/>
        </w:numPr>
      </w:pPr>
      <w:r>
        <w:t>Slides 1</w:t>
      </w:r>
      <w:r w:rsidR="008A4B70">
        <w:t>5</w:t>
      </w:r>
      <w:r>
        <w:t>-2</w:t>
      </w:r>
      <w:r w:rsidR="008A4B70">
        <w:t>6</w:t>
      </w:r>
    </w:p>
    <w:p w14:paraId="552DFBAF" w14:textId="3E18B1AC" w:rsidR="003A20F5" w:rsidRDefault="00E94A5C" w:rsidP="003A20F5">
      <w:pPr>
        <w:pStyle w:val="ListParagraph"/>
        <w:numPr>
          <w:ilvl w:val="1"/>
          <w:numId w:val="5"/>
        </w:numPr>
      </w:pPr>
      <w:r>
        <w:t>Discussion</w:t>
      </w:r>
      <w:r w:rsidR="003A20F5">
        <w:t>: What are the benefits of effective community engagement?</w:t>
      </w:r>
    </w:p>
    <w:p w14:paraId="5464D86B" w14:textId="7BFF2485" w:rsidR="00A02B03" w:rsidRPr="007D0AD1" w:rsidRDefault="00A02B03" w:rsidP="007D0AD1">
      <w:pPr>
        <w:ind w:left="360"/>
        <w:rPr>
          <w:i/>
          <w:iCs/>
        </w:rPr>
      </w:pPr>
      <w:r w:rsidRPr="007D0AD1">
        <w:rPr>
          <w:i/>
          <w:iCs/>
        </w:rPr>
        <w:t>Break (15 min)</w:t>
      </w:r>
    </w:p>
    <w:p w14:paraId="69D61DEC" w14:textId="1E951D9F" w:rsidR="003A20F5" w:rsidRPr="00E94A5C" w:rsidRDefault="003A20F5" w:rsidP="003A20F5">
      <w:pPr>
        <w:pStyle w:val="ListParagraph"/>
        <w:numPr>
          <w:ilvl w:val="0"/>
          <w:numId w:val="5"/>
        </w:numPr>
        <w:rPr>
          <w:b/>
          <w:bCs/>
        </w:rPr>
      </w:pPr>
      <w:r w:rsidRPr="00E94A5C">
        <w:rPr>
          <w:b/>
          <w:bCs/>
        </w:rPr>
        <w:t>Good Neighbor Roadmap (2</w:t>
      </w:r>
      <w:r w:rsidR="004B1843">
        <w:rPr>
          <w:b/>
          <w:bCs/>
        </w:rPr>
        <w:t>5</w:t>
      </w:r>
      <w:r w:rsidRPr="00E94A5C">
        <w:rPr>
          <w:b/>
          <w:bCs/>
        </w:rPr>
        <w:t xml:space="preserve"> min)</w:t>
      </w:r>
    </w:p>
    <w:p w14:paraId="5A3FCB41" w14:textId="5EA569A9" w:rsidR="00E94A5C" w:rsidRDefault="00E94A5C" w:rsidP="00E94A5C">
      <w:pPr>
        <w:pStyle w:val="ListParagraph"/>
        <w:numPr>
          <w:ilvl w:val="1"/>
          <w:numId w:val="5"/>
        </w:numPr>
      </w:pPr>
      <w:r>
        <w:t>Slides 2</w:t>
      </w:r>
      <w:r w:rsidR="008A4B70">
        <w:t>7</w:t>
      </w:r>
      <w:r>
        <w:t>-4</w:t>
      </w:r>
      <w:r w:rsidR="008A4B70">
        <w:t>1</w:t>
      </w:r>
    </w:p>
    <w:p w14:paraId="75985F14" w14:textId="6FC8E09A" w:rsidR="003A20F5" w:rsidRDefault="00E94A5C" w:rsidP="00E94A5C">
      <w:pPr>
        <w:pStyle w:val="ListParagraph"/>
        <w:numPr>
          <w:ilvl w:val="1"/>
          <w:numId w:val="5"/>
        </w:numPr>
      </w:pPr>
      <w:r>
        <w:t>Discussion</w:t>
      </w:r>
      <w:r w:rsidR="003A20F5">
        <w:t xml:space="preserve">: What </w:t>
      </w:r>
      <w:r>
        <w:t xml:space="preserve">are the benefits to having </w:t>
      </w:r>
      <w:r w:rsidR="003A20F5">
        <w:t xml:space="preserve">a good neighbor roadmap? </w:t>
      </w:r>
    </w:p>
    <w:p w14:paraId="71846B50" w14:textId="77777777" w:rsidR="003A20F5" w:rsidRDefault="003A20F5" w:rsidP="003A20F5">
      <w:pPr>
        <w:pStyle w:val="ListParagraph"/>
        <w:ind w:left="1440"/>
      </w:pPr>
    </w:p>
    <w:p w14:paraId="0015CF62" w14:textId="77777777" w:rsidR="003A20F5" w:rsidRPr="00E94A5C" w:rsidRDefault="003A20F5" w:rsidP="003A20F5">
      <w:pPr>
        <w:pStyle w:val="ListParagraph"/>
        <w:numPr>
          <w:ilvl w:val="0"/>
          <w:numId w:val="5"/>
        </w:numPr>
        <w:rPr>
          <w:b/>
          <w:bCs/>
        </w:rPr>
      </w:pPr>
      <w:r w:rsidRPr="00E94A5C">
        <w:rPr>
          <w:b/>
          <w:bCs/>
        </w:rPr>
        <w:t>Closing (20 min)</w:t>
      </w:r>
    </w:p>
    <w:p w14:paraId="5FDB763A" w14:textId="244A4D72" w:rsidR="00E94A5C" w:rsidRDefault="00E94A5C" w:rsidP="003A20F5">
      <w:pPr>
        <w:pStyle w:val="ListParagraph"/>
        <w:numPr>
          <w:ilvl w:val="1"/>
          <w:numId w:val="5"/>
        </w:numPr>
      </w:pPr>
      <w:r>
        <w:t>Slides 4</w:t>
      </w:r>
      <w:r w:rsidR="008A4B70">
        <w:t>2</w:t>
      </w:r>
      <w:r>
        <w:t>-4</w:t>
      </w:r>
      <w:r w:rsidR="008A4B70">
        <w:t>5</w:t>
      </w:r>
    </w:p>
    <w:p w14:paraId="5FC184B1" w14:textId="504E1DD6" w:rsidR="003A20F5" w:rsidRDefault="003A20F5" w:rsidP="003A20F5">
      <w:pPr>
        <w:pStyle w:val="ListParagraph"/>
        <w:numPr>
          <w:ilvl w:val="1"/>
          <w:numId w:val="5"/>
        </w:numPr>
      </w:pPr>
      <w:r>
        <w:t>Please share one element from today’s training that you would like to learn more about or integrate in your work.</w:t>
      </w:r>
    </w:p>
    <w:p w14:paraId="1E0C6CF2" w14:textId="77777777" w:rsidR="003A20F5" w:rsidRDefault="003A20F5" w:rsidP="003A20F5">
      <w:pPr>
        <w:pStyle w:val="ListParagraph"/>
        <w:numPr>
          <w:ilvl w:val="1"/>
          <w:numId w:val="5"/>
        </w:numPr>
      </w:pPr>
      <w:r>
        <w:t>Share contact information and resources</w:t>
      </w:r>
    </w:p>
    <w:p w14:paraId="7F8D9840" w14:textId="6399E985" w:rsidR="003A20F5" w:rsidRDefault="003A20F5">
      <w:r>
        <w:br w:type="page"/>
      </w:r>
    </w:p>
    <w:p w14:paraId="1895FBDB" w14:textId="30EBD379" w:rsidR="0090105A" w:rsidRDefault="0090105A" w:rsidP="00EF5F13">
      <w:pPr>
        <w:pStyle w:val="Heading2"/>
        <w:spacing w:after="120"/>
        <w:jc w:val="center"/>
      </w:pPr>
      <w:r>
        <w:t>4-Hour Training Agenda</w:t>
      </w:r>
      <w:r w:rsidR="003A20F5">
        <w:t xml:space="preserve"> –</w:t>
      </w:r>
      <w:r w:rsidR="00262565">
        <w:t xml:space="preserve"> </w:t>
      </w:r>
      <w:r w:rsidR="003A20F5">
        <w:t>E</w:t>
      </w:r>
      <w:r w:rsidR="77385295">
        <w:t xml:space="preserve">nvironmental </w:t>
      </w:r>
      <w:r w:rsidR="003A20F5">
        <w:t>J</w:t>
      </w:r>
      <w:r w:rsidR="0EDCE476">
        <w:t>ustice</w:t>
      </w:r>
      <w:r w:rsidR="003A20F5">
        <w:t xml:space="preserve"> Primer</w:t>
      </w:r>
      <w:r w:rsidR="00262565">
        <w:t xml:space="preserve"> for Ports</w:t>
      </w:r>
    </w:p>
    <w:p w14:paraId="4CEBBD2D" w14:textId="77777777" w:rsidR="0090105A" w:rsidRPr="00E94A5C" w:rsidRDefault="0090105A" w:rsidP="0090105A">
      <w:pPr>
        <w:pStyle w:val="ListParagraph"/>
        <w:numPr>
          <w:ilvl w:val="0"/>
          <w:numId w:val="3"/>
        </w:numPr>
        <w:rPr>
          <w:b/>
          <w:bCs/>
        </w:rPr>
      </w:pPr>
      <w:r w:rsidRPr="00E94A5C">
        <w:rPr>
          <w:b/>
          <w:bCs/>
        </w:rPr>
        <w:t>Introductions (20 min)</w:t>
      </w:r>
    </w:p>
    <w:p w14:paraId="0AC53F2B" w14:textId="69DD981C" w:rsidR="0090105A" w:rsidRDefault="0090105A" w:rsidP="0090105A">
      <w:pPr>
        <w:pStyle w:val="ListParagraph"/>
        <w:numPr>
          <w:ilvl w:val="1"/>
          <w:numId w:val="3"/>
        </w:numPr>
      </w:pPr>
      <w:r>
        <w:t xml:space="preserve">Share name, affiliation and your interest </w:t>
      </w:r>
      <w:r w:rsidR="0032460B">
        <w:t xml:space="preserve">in </w:t>
      </w:r>
      <w:r>
        <w:t>community-port relationship building</w:t>
      </w:r>
      <w:r w:rsidR="00462CCE">
        <w:t xml:space="preserve"> or other collaboration efforts</w:t>
      </w:r>
    </w:p>
    <w:p w14:paraId="5D380083" w14:textId="10365E1B" w:rsidR="0090105A" w:rsidRDefault="0090105A" w:rsidP="00856DE3">
      <w:pPr>
        <w:pStyle w:val="ListParagraph"/>
        <w:numPr>
          <w:ilvl w:val="1"/>
          <w:numId w:val="3"/>
        </w:numPr>
      </w:pPr>
      <w:r>
        <w:t xml:space="preserve">Review introductory slides </w:t>
      </w:r>
      <w:r w:rsidR="00B86B3D">
        <w:t xml:space="preserve">for Module 4 </w:t>
      </w:r>
      <w:r>
        <w:t>(1-</w:t>
      </w:r>
      <w:r w:rsidR="00B730D4">
        <w:t>7</w:t>
      </w:r>
      <w:r>
        <w:t>)</w:t>
      </w:r>
    </w:p>
    <w:p w14:paraId="303BE7D8" w14:textId="77777777" w:rsidR="00856DE3" w:rsidRDefault="00856DE3" w:rsidP="00856DE3">
      <w:pPr>
        <w:pStyle w:val="ListParagraph"/>
        <w:ind w:left="1440"/>
      </w:pPr>
    </w:p>
    <w:p w14:paraId="48788C10" w14:textId="5C13F911" w:rsidR="0090105A" w:rsidRPr="00E94A5C" w:rsidRDefault="0090105A" w:rsidP="0090105A">
      <w:pPr>
        <w:pStyle w:val="ListParagraph"/>
        <w:numPr>
          <w:ilvl w:val="0"/>
          <w:numId w:val="3"/>
        </w:numPr>
        <w:rPr>
          <w:b/>
          <w:bCs/>
        </w:rPr>
      </w:pPr>
      <w:r w:rsidRPr="00E94A5C">
        <w:rPr>
          <w:b/>
          <w:bCs/>
        </w:rPr>
        <w:t>Defining Environmental Justice (</w:t>
      </w:r>
      <w:r w:rsidR="00B729FF" w:rsidRPr="00E94A5C">
        <w:rPr>
          <w:b/>
          <w:bCs/>
        </w:rPr>
        <w:t>30</w:t>
      </w:r>
      <w:r w:rsidRPr="00E94A5C">
        <w:rPr>
          <w:b/>
          <w:bCs/>
        </w:rPr>
        <w:t xml:space="preserve"> min)</w:t>
      </w:r>
    </w:p>
    <w:p w14:paraId="0DAF7FF9" w14:textId="3E6C65EA" w:rsidR="0090105A" w:rsidRDefault="00856DE3" w:rsidP="0090105A">
      <w:pPr>
        <w:pStyle w:val="ListParagraph"/>
        <w:numPr>
          <w:ilvl w:val="1"/>
          <w:numId w:val="3"/>
        </w:numPr>
      </w:pPr>
      <w:r>
        <w:t xml:space="preserve">Review first section (slides </w:t>
      </w:r>
      <w:r w:rsidR="00B730D4">
        <w:t>8</w:t>
      </w:r>
      <w:r>
        <w:t>-1</w:t>
      </w:r>
      <w:r w:rsidR="00B730D4">
        <w:t>4</w:t>
      </w:r>
      <w:r>
        <w:t>)</w:t>
      </w:r>
    </w:p>
    <w:p w14:paraId="34A114D2" w14:textId="77777777" w:rsidR="00856DE3" w:rsidRDefault="00856DE3" w:rsidP="00856DE3">
      <w:pPr>
        <w:pStyle w:val="ListParagraph"/>
        <w:numPr>
          <w:ilvl w:val="1"/>
          <w:numId w:val="3"/>
        </w:numPr>
      </w:pPr>
      <w:r>
        <w:t xml:space="preserve">Discussion questions: </w:t>
      </w:r>
    </w:p>
    <w:p w14:paraId="7225AEA8" w14:textId="116D995C" w:rsidR="00856DE3" w:rsidRDefault="00856DE3" w:rsidP="00856DE3">
      <w:pPr>
        <w:pStyle w:val="ListParagraph"/>
        <w:numPr>
          <w:ilvl w:val="2"/>
          <w:numId w:val="3"/>
        </w:numPr>
      </w:pPr>
      <w:r>
        <w:t>How do you define environmental justice?</w:t>
      </w:r>
    </w:p>
    <w:p w14:paraId="39400E7C" w14:textId="4A544719" w:rsidR="0090105A" w:rsidRDefault="0090105A" w:rsidP="00856DE3">
      <w:pPr>
        <w:pStyle w:val="ListParagraph"/>
        <w:numPr>
          <w:ilvl w:val="2"/>
          <w:numId w:val="3"/>
        </w:numPr>
      </w:pPr>
      <w:r>
        <w:t xml:space="preserve">How </w:t>
      </w:r>
      <w:r w:rsidR="00B729FF">
        <w:t>do</w:t>
      </w:r>
      <w:r>
        <w:t xml:space="preserve"> these definitions </w:t>
      </w:r>
      <w:r w:rsidR="00B729FF">
        <w:t>differ?</w:t>
      </w:r>
    </w:p>
    <w:p w14:paraId="1E386592" w14:textId="1102BFE6" w:rsidR="00B729FF" w:rsidRDefault="00B729FF" w:rsidP="00856DE3">
      <w:pPr>
        <w:pStyle w:val="ListParagraph"/>
        <w:numPr>
          <w:ilvl w:val="2"/>
          <w:numId w:val="3"/>
        </w:numPr>
      </w:pPr>
      <w:r>
        <w:t>What are some of the layers of environmental justice that factor into land use and environmental decision</w:t>
      </w:r>
      <w:r w:rsidR="00B95CB6">
        <w:t>s</w:t>
      </w:r>
      <w:r>
        <w:t>?</w:t>
      </w:r>
    </w:p>
    <w:p w14:paraId="20CD21C4" w14:textId="77777777" w:rsidR="0090105A" w:rsidRDefault="0090105A" w:rsidP="0090105A">
      <w:pPr>
        <w:pStyle w:val="ListParagraph"/>
        <w:ind w:left="1440"/>
      </w:pPr>
    </w:p>
    <w:p w14:paraId="7895196B" w14:textId="069B749F" w:rsidR="0090105A" w:rsidRPr="00E94A5C" w:rsidRDefault="0090105A" w:rsidP="0090105A">
      <w:pPr>
        <w:pStyle w:val="ListParagraph"/>
        <w:numPr>
          <w:ilvl w:val="0"/>
          <w:numId w:val="3"/>
        </w:numPr>
        <w:rPr>
          <w:b/>
          <w:bCs/>
        </w:rPr>
      </w:pPr>
      <w:r w:rsidRPr="00E94A5C">
        <w:rPr>
          <w:b/>
          <w:bCs/>
        </w:rPr>
        <w:t>Community Engagement Principles (</w:t>
      </w:r>
      <w:r w:rsidR="00B729FF" w:rsidRPr="00E94A5C">
        <w:rPr>
          <w:b/>
          <w:bCs/>
        </w:rPr>
        <w:t>30</w:t>
      </w:r>
      <w:r w:rsidRPr="00E94A5C">
        <w:rPr>
          <w:b/>
          <w:bCs/>
        </w:rPr>
        <w:t xml:space="preserve"> min)</w:t>
      </w:r>
    </w:p>
    <w:p w14:paraId="7A7A28CF" w14:textId="1F667728" w:rsidR="00856DE3" w:rsidRDefault="00856DE3" w:rsidP="00856DE3">
      <w:pPr>
        <w:pStyle w:val="ListParagraph"/>
        <w:numPr>
          <w:ilvl w:val="1"/>
          <w:numId w:val="3"/>
        </w:numPr>
      </w:pPr>
      <w:r>
        <w:t>Review slides 1</w:t>
      </w:r>
      <w:r w:rsidR="00B730D4">
        <w:t>5</w:t>
      </w:r>
      <w:r>
        <w:t>-2</w:t>
      </w:r>
      <w:r w:rsidR="00065442">
        <w:t>6</w:t>
      </w:r>
    </w:p>
    <w:p w14:paraId="65493138" w14:textId="77777777" w:rsidR="00856DE3" w:rsidRDefault="00856DE3" w:rsidP="0090105A">
      <w:pPr>
        <w:pStyle w:val="ListParagraph"/>
        <w:numPr>
          <w:ilvl w:val="1"/>
          <w:numId w:val="3"/>
        </w:numPr>
      </w:pPr>
      <w:r>
        <w:t>Discussion q</w:t>
      </w:r>
      <w:r w:rsidR="0090105A">
        <w:t>uestion</w:t>
      </w:r>
      <w:r>
        <w:t>s</w:t>
      </w:r>
      <w:r w:rsidR="0090105A">
        <w:t xml:space="preserve">: </w:t>
      </w:r>
    </w:p>
    <w:p w14:paraId="0AFD0713" w14:textId="609F95F8" w:rsidR="0090105A" w:rsidRDefault="0090105A" w:rsidP="00856DE3">
      <w:pPr>
        <w:pStyle w:val="ListParagraph"/>
        <w:numPr>
          <w:ilvl w:val="2"/>
          <w:numId w:val="3"/>
        </w:numPr>
      </w:pPr>
      <w:r>
        <w:t>What are the benefits of effective community engagement?</w:t>
      </w:r>
    </w:p>
    <w:p w14:paraId="144C8C9A" w14:textId="457BEE3A" w:rsidR="00B729FF" w:rsidRDefault="00B729FF" w:rsidP="00856DE3">
      <w:pPr>
        <w:pStyle w:val="ListParagraph"/>
        <w:numPr>
          <w:ilvl w:val="2"/>
          <w:numId w:val="3"/>
        </w:numPr>
      </w:pPr>
      <w:r>
        <w:t>What level of engagement is most common in your work?</w:t>
      </w:r>
    </w:p>
    <w:p w14:paraId="7DEC04E6" w14:textId="71340B6D" w:rsidR="00B729FF" w:rsidRDefault="00EC5011" w:rsidP="00856DE3">
      <w:pPr>
        <w:pStyle w:val="ListParagraph"/>
        <w:numPr>
          <w:ilvl w:val="2"/>
          <w:numId w:val="3"/>
        </w:numPr>
      </w:pPr>
      <w:r>
        <w:t>What are examples of changes that would increase the level of engagement?</w:t>
      </w:r>
    </w:p>
    <w:p w14:paraId="6681345B" w14:textId="77777777" w:rsidR="0090105A" w:rsidRDefault="0090105A" w:rsidP="0090105A">
      <w:pPr>
        <w:pStyle w:val="ListParagraph"/>
        <w:ind w:left="1440"/>
      </w:pPr>
    </w:p>
    <w:p w14:paraId="05C27BBA" w14:textId="45F63747" w:rsidR="0090105A" w:rsidRPr="00E94A5C" w:rsidRDefault="0090105A" w:rsidP="0090105A">
      <w:pPr>
        <w:pStyle w:val="ListParagraph"/>
        <w:numPr>
          <w:ilvl w:val="0"/>
          <w:numId w:val="3"/>
        </w:numPr>
        <w:rPr>
          <w:b/>
          <w:bCs/>
        </w:rPr>
      </w:pPr>
      <w:r w:rsidRPr="00E94A5C">
        <w:rPr>
          <w:b/>
          <w:bCs/>
        </w:rPr>
        <w:t>Good Neighbor Roadmap (</w:t>
      </w:r>
      <w:r w:rsidR="00B729FF" w:rsidRPr="00E94A5C">
        <w:rPr>
          <w:b/>
          <w:bCs/>
        </w:rPr>
        <w:t>10</w:t>
      </w:r>
      <w:r w:rsidRPr="00E94A5C">
        <w:rPr>
          <w:b/>
          <w:bCs/>
        </w:rPr>
        <w:t xml:space="preserve"> min)</w:t>
      </w:r>
    </w:p>
    <w:p w14:paraId="7C003524" w14:textId="67357496" w:rsidR="00856DE3" w:rsidRDefault="00856DE3" w:rsidP="00856DE3">
      <w:pPr>
        <w:pStyle w:val="ListParagraph"/>
        <w:numPr>
          <w:ilvl w:val="1"/>
          <w:numId w:val="3"/>
        </w:numPr>
      </w:pPr>
      <w:r>
        <w:t>Review roadmap steps (Slides 2</w:t>
      </w:r>
      <w:r w:rsidR="00065442">
        <w:t>7</w:t>
      </w:r>
      <w:r>
        <w:t>-</w:t>
      </w:r>
      <w:r w:rsidR="00065442">
        <w:t>28</w:t>
      </w:r>
      <w:r>
        <w:t>)</w:t>
      </w:r>
    </w:p>
    <w:p w14:paraId="43EEBED6" w14:textId="77777777" w:rsidR="00856DE3" w:rsidRDefault="00856DE3" w:rsidP="0090105A">
      <w:pPr>
        <w:pStyle w:val="ListParagraph"/>
        <w:numPr>
          <w:ilvl w:val="1"/>
          <w:numId w:val="3"/>
        </w:numPr>
      </w:pPr>
      <w:r>
        <w:t>Discussion q</w:t>
      </w:r>
      <w:r w:rsidR="0090105A">
        <w:t>uestion</w:t>
      </w:r>
      <w:r>
        <w:t>s</w:t>
      </w:r>
      <w:r w:rsidR="0090105A">
        <w:t xml:space="preserve">: </w:t>
      </w:r>
    </w:p>
    <w:p w14:paraId="25A2ADBB" w14:textId="77777777" w:rsidR="00856DE3" w:rsidRDefault="0090105A" w:rsidP="00856DE3">
      <w:pPr>
        <w:pStyle w:val="ListParagraph"/>
        <w:numPr>
          <w:ilvl w:val="2"/>
          <w:numId w:val="3"/>
        </w:numPr>
      </w:pPr>
      <w:r>
        <w:t>What is a good neighbor roadmap?</w:t>
      </w:r>
    </w:p>
    <w:p w14:paraId="13AD6CD3" w14:textId="77777777" w:rsidR="00856DE3" w:rsidRDefault="00EC5011" w:rsidP="00856DE3">
      <w:pPr>
        <w:pStyle w:val="ListParagraph"/>
        <w:numPr>
          <w:ilvl w:val="2"/>
          <w:numId w:val="3"/>
        </w:numPr>
      </w:pPr>
      <w:r>
        <w:t>What elements of a good neighbor roadmap are currently in place?</w:t>
      </w:r>
    </w:p>
    <w:p w14:paraId="5CB67C4B" w14:textId="30FA76D4" w:rsidR="000069EB" w:rsidRDefault="000069EB" w:rsidP="00856DE3">
      <w:pPr>
        <w:pStyle w:val="ListParagraph"/>
        <w:numPr>
          <w:ilvl w:val="2"/>
          <w:numId w:val="3"/>
        </w:numPr>
      </w:pPr>
      <w:r>
        <w:t xml:space="preserve">What gaps could </w:t>
      </w:r>
      <w:r w:rsidR="00D72F9D">
        <w:t>a port-community engagement process help to fill?</w:t>
      </w:r>
    </w:p>
    <w:p w14:paraId="445C91B4" w14:textId="77777777" w:rsidR="00B729FF" w:rsidRDefault="00B729FF" w:rsidP="00B729FF">
      <w:pPr>
        <w:pStyle w:val="ListParagraph"/>
        <w:ind w:left="1440"/>
      </w:pPr>
    </w:p>
    <w:p w14:paraId="03C63C0D" w14:textId="1BCDB08B" w:rsidR="00B729FF" w:rsidRPr="00E94A5C" w:rsidRDefault="00B729FF" w:rsidP="00B729FF">
      <w:pPr>
        <w:pStyle w:val="ListParagraph"/>
        <w:numPr>
          <w:ilvl w:val="0"/>
          <w:numId w:val="3"/>
        </w:numPr>
        <w:rPr>
          <w:b/>
          <w:bCs/>
        </w:rPr>
      </w:pPr>
      <w:r w:rsidRPr="00E94A5C">
        <w:rPr>
          <w:b/>
          <w:bCs/>
        </w:rPr>
        <w:t>Steps 1 and 2 (40 min)</w:t>
      </w:r>
    </w:p>
    <w:p w14:paraId="697A4201" w14:textId="0E8D2A2B" w:rsidR="00B729FF" w:rsidRDefault="00B729FF" w:rsidP="00B729FF">
      <w:pPr>
        <w:pStyle w:val="ListParagraph"/>
        <w:numPr>
          <w:ilvl w:val="1"/>
          <w:numId w:val="3"/>
        </w:numPr>
      </w:pPr>
      <w:r>
        <w:t xml:space="preserve">Slides </w:t>
      </w:r>
      <w:r w:rsidR="00065442">
        <w:t>29</w:t>
      </w:r>
      <w:r w:rsidR="00E94A5C">
        <w:t>-3</w:t>
      </w:r>
      <w:r w:rsidR="00065442">
        <w:t>2</w:t>
      </w:r>
    </w:p>
    <w:p w14:paraId="10F6F8B0" w14:textId="0A73BABF" w:rsidR="0090105A" w:rsidRDefault="00B729FF" w:rsidP="00B729FF">
      <w:pPr>
        <w:pStyle w:val="ListParagraph"/>
        <w:numPr>
          <w:ilvl w:val="1"/>
          <w:numId w:val="3"/>
        </w:numPr>
      </w:pPr>
      <w:r>
        <w:t>Interactive Exercise</w:t>
      </w:r>
      <w:r w:rsidR="00EC5011">
        <w:t>: Invite participants to break into groups of 3. Select one of the “Try it Out” Exercises on pages 22-25 and invite them to spend 10-15 minutes working through the exercise together. Allow for 5 minutes for groups to share insights or highlights of what they learned during the exercise.</w:t>
      </w:r>
    </w:p>
    <w:p w14:paraId="3DDC4C2C" w14:textId="70F76B46" w:rsidR="00B729FF" w:rsidRPr="00B729FF" w:rsidRDefault="00B729FF" w:rsidP="00B729FF">
      <w:pPr>
        <w:ind w:firstLine="720"/>
        <w:rPr>
          <w:i/>
          <w:iCs/>
        </w:rPr>
      </w:pPr>
      <w:r w:rsidRPr="00B729FF">
        <w:rPr>
          <w:i/>
          <w:iCs/>
        </w:rPr>
        <w:t>Break (1</w:t>
      </w:r>
      <w:r>
        <w:rPr>
          <w:i/>
          <w:iCs/>
        </w:rPr>
        <w:t>0</w:t>
      </w:r>
      <w:r w:rsidRPr="00B729FF">
        <w:rPr>
          <w:i/>
          <w:iCs/>
        </w:rPr>
        <w:t xml:space="preserve"> min)</w:t>
      </w:r>
    </w:p>
    <w:p w14:paraId="0B515AB6" w14:textId="4B7AF55C" w:rsidR="00B729FF" w:rsidRPr="00E94A5C" w:rsidRDefault="00B729FF" w:rsidP="00B729FF">
      <w:pPr>
        <w:pStyle w:val="ListParagraph"/>
        <w:numPr>
          <w:ilvl w:val="0"/>
          <w:numId w:val="3"/>
        </w:numPr>
        <w:rPr>
          <w:b/>
          <w:bCs/>
        </w:rPr>
      </w:pPr>
      <w:r w:rsidRPr="00E94A5C">
        <w:rPr>
          <w:b/>
          <w:bCs/>
        </w:rPr>
        <w:t>Steps 3 and 4 (40 min)</w:t>
      </w:r>
    </w:p>
    <w:p w14:paraId="4B11AF90" w14:textId="67672519" w:rsidR="00B729FF" w:rsidRDefault="00B729FF" w:rsidP="00B729FF">
      <w:pPr>
        <w:pStyle w:val="ListParagraph"/>
        <w:numPr>
          <w:ilvl w:val="1"/>
          <w:numId w:val="3"/>
        </w:numPr>
      </w:pPr>
      <w:r>
        <w:t xml:space="preserve">Slides </w:t>
      </w:r>
      <w:r w:rsidR="00E94A5C">
        <w:t>3</w:t>
      </w:r>
      <w:r w:rsidR="00065442">
        <w:t>3</w:t>
      </w:r>
      <w:r w:rsidR="00E94A5C">
        <w:t>-3</w:t>
      </w:r>
      <w:r w:rsidR="00065442">
        <w:t>7</w:t>
      </w:r>
    </w:p>
    <w:p w14:paraId="0089110A" w14:textId="1187D7F4" w:rsidR="00B729FF" w:rsidRDefault="00B729FF" w:rsidP="00B729FF">
      <w:pPr>
        <w:pStyle w:val="ListParagraph"/>
        <w:numPr>
          <w:ilvl w:val="1"/>
          <w:numId w:val="3"/>
        </w:numPr>
      </w:pPr>
      <w:r>
        <w:t>Interactive Exercise</w:t>
      </w:r>
      <w:r w:rsidR="00EC5011">
        <w:t>: Invite participants to break into groups of 3. Select one of the “Try it Out” Exercises on pages 26-29 and invite them to spend 10-15 minutes working through the exercise together. Allow for 5 minutes for groups to share insights or highlights of what they learned during the exercise.</w:t>
      </w:r>
    </w:p>
    <w:p w14:paraId="357753F2" w14:textId="0EF086E1" w:rsidR="00B729FF" w:rsidRDefault="00B729FF" w:rsidP="0090105A">
      <w:pPr>
        <w:pStyle w:val="ListParagraph"/>
        <w:ind w:left="1440"/>
      </w:pPr>
    </w:p>
    <w:p w14:paraId="27B4D7FB" w14:textId="5DB0AC7B" w:rsidR="00B729FF" w:rsidRPr="00E94A5C" w:rsidRDefault="00B729FF" w:rsidP="00B058CC">
      <w:pPr>
        <w:pStyle w:val="ListParagraph"/>
        <w:keepNext/>
        <w:numPr>
          <w:ilvl w:val="0"/>
          <w:numId w:val="3"/>
        </w:numPr>
        <w:rPr>
          <w:b/>
          <w:bCs/>
        </w:rPr>
      </w:pPr>
      <w:r w:rsidRPr="00E94A5C">
        <w:rPr>
          <w:b/>
          <w:bCs/>
        </w:rPr>
        <w:t>Steps 5 and 6 (40 min)</w:t>
      </w:r>
    </w:p>
    <w:p w14:paraId="5FCE7D57" w14:textId="5C1D57FB" w:rsidR="00B729FF" w:rsidRDefault="00B729FF" w:rsidP="00B058CC">
      <w:pPr>
        <w:pStyle w:val="ListParagraph"/>
        <w:keepNext/>
        <w:numPr>
          <w:ilvl w:val="1"/>
          <w:numId w:val="3"/>
        </w:numPr>
      </w:pPr>
      <w:r>
        <w:t xml:space="preserve">Slides </w:t>
      </w:r>
      <w:r w:rsidR="00065442">
        <w:t>38-41</w:t>
      </w:r>
    </w:p>
    <w:p w14:paraId="0FAB658C" w14:textId="686A2658" w:rsidR="00B729FF" w:rsidRDefault="00B729FF" w:rsidP="00B058CC">
      <w:pPr>
        <w:pStyle w:val="ListParagraph"/>
        <w:keepNext/>
        <w:numPr>
          <w:ilvl w:val="1"/>
          <w:numId w:val="3"/>
        </w:numPr>
      </w:pPr>
      <w:r>
        <w:t>Interactive Exercise</w:t>
      </w:r>
      <w:r w:rsidR="00EC5011">
        <w:t>: Invite participants to break into groups of 3. Select one of the “Try it Out” Exercises on pages 31-32 and invite them to spend 10-15 minutes working through the exercise together. Allow for 5 minutes for groups to share insights or highlights of what they learned during the exercise.</w:t>
      </w:r>
    </w:p>
    <w:p w14:paraId="3C73208F" w14:textId="77777777" w:rsidR="00B729FF" w:rsidRDefault="00B729FF" w:rsidP="0090105A">
      <w:pPr>
        <w:pStyle w:val="ListParagraph"/>
        <w:ind w:left="1440"/>
      </w:pPr>
    </w:p>
    <w:p w14:paraId="6DAF2292" w14:textId="77777777" w:rsidR="0090105A" w:rsidRPr="00E94A5C" w:rsidRDefault="0090105A" w:rsidP="0090105A">
      <w:pPr>
        <w:pStyle w:val="ListParagraph"/>
        <w:numPr>
          <w:ilvl w:val="0"/>
          <w:numId w:val="3"/>
        </w:numPr>
        <w:rPr>
          <w:b/>
          <w:bCs/>
        </w:rPr>
      </w:pPr>
      <w:r w:rsidRPr="00E94A5C">
        <w:rPr>
          <w:b/>
          <w:bCs/>
        </w:rPr>
        <w:t>Closing (20 min)</w:t>
      </w:r>
    </w:p>
    <w:p w14:paraId="48ED4DBA" w14:textId="3562CDB2" w:rsidR="00E94A5C" w:rsidRDefault="00E94A5C" w:rsidP="0090105A">
      <w:pPr>
        <w:pStyle w:val="ListParagraph"/>
        <w:numPr>
          <w:ilvl w:val="1"/>
          <w:numId w:val="3"/>
        </w:numPr>
      </w:pPr>
      <w:r>
        <w:t>Slides 4</w:t>
      </w:r>
      <w:r w:rsidR="00065442">
        <w:t>2</w:t>
      </w:r>
      <w:r>
        <w:t>-4</w:t>
      </w:r>
      <w:r w:rsidR="00065442">
        <w:t>5</w:t>
      </w:r>
    </w:p>
    <w:p w14:paraId="72CE2270" w14:textId="560CED02" w:rsidR="0090105A" w:rsidRDefault="0090105A" w:rsidP="0090105A">
      <w:pPr>
        <w:pStyle w:val="ListParagraph"/>
        <w:numPr>
          <w:ilvl w:val="1"/>
          <w:numId w:val="3"/>
        </w:numPr>
      </w:pPr>
      <w:r>
        <w:t>Please share one element from today’s training that you would like to learn more about or integrate in your work.</w:t>
      </w:r>
    </w:p>
    <w:p w14:paraId="690C1600" w14:textId="77777777" w:rsidR="0090105A" w:rsidRDefault="0090105A" w:rsidP="0090105A">
      <w:pPr>
        <w:pStyle w:val="ListParagraph"/>
        <w:numPr>
          <w:ilvl w:val="1"/>
          <w:numId w:val="3"/>
        </w:numPr>
      </w:pPr>
      <w:r>
        <w:t>Share contact information and resources</w:t>
      </w:r>
    </w:p>
    <w:p w14:paraId="0FB4ECD2" w14:textId="77777777" w:rsidR="0090105A" w:rsidRDefault="0090105A" w:rsidP="0090105A">
      <w:pPr>
        <w:jc w:val="center"/>
      </w:pPr>
    </w:p>
    <w:p w14:paraId="5ED7FD19" w14:textId="52D0FC6B" w:rsidR="00EC5011" w:rsidRDefault="00EC5011">
      <w:r>
        <w:br w:type="page"/>
      </w:r>
    </w:p>
    <w:p w14:paraId="3BBAF3B5" w14:textId="74E5FAC8" w:rsidR="00EC5011" w:rsidRDefault="00EC5011" w:rsidP="00EF5F13">
      <w:pPr>
        <w:pStyle w:val="Heading2"/>
        <w:spacing w:after="120"/>
        <w:jc w:val="center"/>
      </w:pPr>
      <w:r>
        <w:t>8-Hour Training Agenda</w:t>
      </w:r>
      <w:r w:rsidR="003A20F5">
        <w:t xml:space="preserve"> – E</w:t>
      </w:r>
      <w:r w:rsidR="13B29EF3">
        <w:t xml:space="preserve">nvironmental </w:t>
      </w:r>
      <w:r w:rsidR="003A20F5">
        <w:t>J</w:t>
      </w:r>
      <w:r w:rsidR="38BF3EFD">
        <w:t>ustice</w:t>
      </w:r>
      <w:r w:rsidR="003A20F5">
        <w:t xml:space="preserve"> Primer</w:t>
      </w:r>
      <w:r w:rsidR="00EF3098">
        <w:t xml:space="preserve"> for Ports</w:t>
      </w:r>
    </w:p>
    <w:p w14:paraId="0E244DDC" w14:textId="029F3761" w:rsidR="00EC5011" w:rsidRPr="00E94A5C" w:rsidRDefault="00EC5011" w:rsidP="00EC5011">
      <w:pPr>
        <w:pStyle w:val="ListParagraph"/>
        <w:numPr>
          <w:ilvl w:val="0"/>
          <w:numId w:val="4"/>
        </w:numPr>
        <w:rPr>
          <w:b/>
          <w:bCs/>
        </w:rPr>
      </w:pPr>
      <w:r w:rsidRPr="00E94A5C">
        <w:rPr>
          <w:b/>
          <w:bCs/>
        </w:rPr>
        <w:t>Introductions (</w:t>
      </w:r>
      <w:r w:rsidR="00CD5D4E" w:rsidRPr="00E94A5C">
        <w:rPr>
          <w:b/>
          <w:bCs/>
        </w:rPr>
        <w:t>3</w:t>
      </w:r>
      <w:r w:rsidRPr="00E94A5C">
        <w:rPr>
          <w:b/>
          <w:bCs/>
        </w:rPr>
        <w:t>0 min)</w:t>
      </w:r>
    </w:p>
    <w:p w14:paraId="21CBA201" w14:textId="644B3283" w:rsidR="00EC5011" w:rsidRDefault="00EC5011" w:rsidP="00EC5011">
      <w:pPr>
        <w:pStyle w:val="ListParagraph"/>
        <w:numPr>
          <w:ilvl w:val="1"/>
          <w:numId w:val="4"/>
        </w:numPr>
      </w:pPr>
      <w:r>
        <w:t xml:space="preserve">Share name, affiliation and your interest </w:t>
      </w:r>
      <w:r w:rsidR="00183F59">
        <w:t xml:space="preserve">in </w:t>
      </w:r>
      <w:r>
        <w:t>community-port relationship building</w:t>
      </w:r>
      <w:r w:rsidR="00462CCE">
        <w:t xml:space="preserve"> or other collaboration efforts</w:t>
      </w:r>
    </w:p>
    <w:p w14:paraId="1C12B2DE" w14:textId="4B78D299" w:rsidR="00EC5011" w:rsidRDefault="00EC5011" w:rsidP="00EC5011">
      <w:pPr>
        <w:pStyle w:val="ListParagraph"/>
        <w:numPr>
          <w:ilvl w:val="1"/>
          <w:numId w:val="4"/>
        </w:numPr>
      </w:pPr>
      <w:r>
        <w:t>Review introductory slides</w:t>
      </w:r>
      <w:r w:rsidR="00B86B3D">
        <w:t xml:space="preserve"> for Module 4</w:t>
      </w:r>
      <w:r>
        <w:t xml:space="preserve"> (1-</w:t>
      </w:r>
      <w:r w:rsidR="008A5E34">
        <w:t>7</w:t>
      </w:r>
      <w:r>
        <w:t>)</w:t>
      </w:r>
    </w:p>
    <w:p w14:paraId="1464B276" w14:textId="77777777" w:rsidR="00EC5011" w:rsidRDefault="00EC5011" w:rsidP="00EC5011">
      <w:pPr>
        <w:pStyle w:val="ListParagraph"/>
        <w:ind w:left="1440"/>
      </w:pPr>
    </w:p>
    <w:p w14:paraId="761F1B1A" w14:textId="46CD9D5D" w:rsidR="00EC5011" w:rsidRPr="00E94A5C" w:rsidRDefault="00EC5011" w:rsidP="00EC5011">
      <w:pPr>
        <w:pStyle w:val="ListParagraph"/>
        <w:numPr>
          <w:ilvl w:val="0"/>
          <w:numId w:val="4"/>
        </w:numPr>
        <w:rPr>
          <w:b/>
          <w:bCs/>
        </w:rPr>
      </w:pPr>
      <w:r w:rsidRPr="00E94A5C">
        <w:rPr>
          <w:b/>
          <w:bCs/>
        </w:rPr>
        <w:t>Defining Environmental Justice (</w:t>
      </w:r>
      <w:r w:rsidR="00CD5D4E" w:rsidRPr="00E94A5C">
        <w:rPr>
          <w:b/>
          <w:bCs/>
        </w:rPr>
        <w:t>45</w:t>
      </w:r>
      <w:r w:rsidRPr="00E94A5C">
        <w:rPr>
          <w:b/>
          <w:bCs/>
        </w:rPr>
        <w:t xml:space="preserve"> min)</w:t>
      </w:r>
    </w:p>
    <w:p w14:paraId="225FA42A" w14:textId="77777777" w:rsidR="00EC5011" w:rsidRDefault="00EC5011" w:rsidP="00EC5011">
      <w:pPr>
        <w:pStyle w:val="ListParagraph"/>
        <w:numPr>
          <w:ilvl w:val="1"/>
          <w:numId w:val="4"/>
        </w:numPr>
      </w:pPr>
      <w:r>
        <w:t>Question: how do you define environmental justice?</w:t>
      </w:r>
    </w:p>
    <w:p w14:paraId="14BE8F6F" w14:textId="1653DFB4" w:rsidR="00E94A5C" w:rsidRDefault="00E94A5C" w:rsidP="00E94A5C">
      <w:pPr>
        <w:pStyle w:val="ListParagraph"/>
        <w:numPr>
          <w:ilvl w:val="1"/>
          <w:numId w:val="4"/>
        </w:numPr>
      </w:pPr>
      <w:r>
        <w:t xml:space="preserve">Review first section (slides </w:t>
      </w:r>
      <w:r w:rsidR="008A5E34">
        <w:t>8</w:t>
      </w:r>
      <w:r>
        <w:t>-1</w:t>
      </w:r>
      <w:r w:rsidR="008A5E34">
        <w:t>4</w:t>
      </w:r>
      <w:r>
        <w:t>)</w:t>
      </w:r>
    </w:p>
    <w:p w14:paraId="3CB1D123" w14:textId="77777777" w:rsidR="00EC5011" w:rsidRDefault="00EC5011" w:rsidP="00EC5011">
      <w:pPr>
        <w:pStyle w:val="ListParagraph"/>
        <w:numPr>
          <w:ilvl w:val="1"/>
          <w:numId w:val="4"/>
        </w:numPr>
      </w:pPr>
      <w:r>
        <w:t>How do these definitions differ?</w:t>
      </w:r>
    </w:p>
    <w:p w14:paraId="0CB0F021" w14:textId="318895D3" w:rsidR="00EC5011" w:rsidRDefault="00EC5011" w:rsidP="00EC5011">
      <w:pPr>
        <w:pStyle w:val="ListParagraph"/>
        <w:numPr>
          <w:ilvl w:val="1"/>
          <w:numId w:val="4"/>
        </w:numPr>
      </w:pPr>
      <w:r>
        <w:t>What are some of the layers of environmental justice that factor into land use and environmental decision</w:t>
      </w:r>
      <w:r w:rsidR="00B95CB6">
        <w:t>s</w:t>
      </w:r>
      <w:r>
        <w:t>?</w:t>
      </w:r>
    </w:p>
    <w:p w14:paraId="758D3C9F" w14:textId="6D62147F" w:rsidR="00961A0B" w:rsidRDefault="00961A0B" w:rsidP="00EC5011">
      <w:pPr>
        <w:pStyle w:val="ListParagraph"/>
        <w:numPr>
          <w:ilvl w:val="1"/>
          <w:numId w:val="4"/>
        </w:numPr>
      </w:pPr>
      <w:r>
        <w:t xml:space="preserve">Round Robin: participants share from their work or other experience of an example of environmental justice or </w:t>
      </w:r>
      <w:r w:rsidRPr="00961A0B">
        <w:rPr>
          <w:i/>
          <w:iCs/>
          <w:u w:val="single"/>
        </w:rPr>
        <w:t>in</w:t>
      </w:r>
      <w:r>
        <w:t>justice that made an impression on them. Facilitate a discussion regarding common themes across experiences.</w:t>
      </w:r>
    </w:p>
    <w:p w14:paraId="7AF8CF3E" w14:textId="3582E7EA" w:rsidR="00EC5011" w:rsidRDefault="00EC5011" w:rsidP="00EC5011">
      <w:pPr>
        <w:pStyle w:val="ListParagraph"/>
        <w:ind w:left="1440"/>
      </w:pPr>
    </w:p>
    <w:p w14:paraId="7A07DC96" w14:textId="2653C99A" w:rsidR="009F1A6E" w:rsidRPr="007D0AD1" w:rsidRDefault="00FA6B1A" w:rsidP="007D0AD1">
      <w:pPr>
        <w:pStyle w:val="ListParagraph"/>
        <w:ind w:left="360"/>
        <w:rPr>
          <w:i/>
          <w:iCs/>
        </w:rPr>
      </w:pPr>
      <w:r w:rsidRPr="007D0AD1">
        <w:rPr>
          <w:i/>
          <w:iCs/>
        </w:rPr>
        <w:t>Break (15 min)</w:t>
      </w:r>
    </w:p>
    <w:p w14:paraId="0839AC3D" w14:textId="77777777" w:rsidR="00FA6B1A" w:rsidRDefault="00FA6B1A" w:rsidP="00EC5011">
      <w:pPr>
        <w:pStyle w:val="ListParagraph"/>
        <w:ind w:left="1440"/>
      </w:pPr>
    </w:p>
    <w:p w14:paraId="363372A3" w14:textId="54E440DC" w:rsidR="00EC5011" w:rsidRPr="00E94A5C" w:rsidRDefault="00EC5011" w:rsidP="00EC5011">
      <w:pPr>
        <w:pStyle w:val="ListParagraph"/>
        <w:numPr>
          <w:ilvl w:val="0"/>
          <w:numId w:val="4"/>
        </w:numPr>
        <w:rPr>
          <w:b/>
          <w:bCs/>
        </w:rPr>
      </w:pPr>
      <w:r w:rsidRPr="00E94A5C">
        <w:rPr>
          <w:b/>
          <w:bCs/>
        </w:rPr>
        <w:t>Community Engagement Principles (</w:t>
      </w:r>
      <w:r w:rsidR="00CD5D4E" w:rsidRPr="00E94A5C">
        <w:rPr>
          <w:b/>
          <w:bCs/>
        </w:rPr>
        <w:t>45</w:t>
      </w:r>
      <w:r w:rsidRPr="00E94A5C">
        <w:rPr>
          <w:b/>
          <w:bCs/>
        </w:rPr>
        <w:t xml:space="preserve"> min)</w:t>
      </w:r>
    </w:p>
    <w:p w14:paraId="6EC1AD74" w14:textId="77777777" w:rsidR="00EC5011" w:rsidRDefault="00EC5011" w:rsidP="00EC5011">
      <w:pPr>
        <w:pStyle w:val="ListParagraph"/>
        <w:numPr>
          <w:ilvl w:val="1"/>
          <w:numId w:val="4"/>
        </w:numPr>
      </w:pPr>
      <w:r>
        <w:t>Question: What are the benefits of effective community engagement?</w:t>
      </w:r>
    </w:p>
    <w:p w14:paraId="7B631DF7" w14:textId="5E6FAF31" w:rsidR="00E94A5C" w:rsidRDefault="00E94A5C" w:rsidP="00E94A5C">
      <w:pPr>
        <w:pStyle w:val="ListParagraph"/>
        <w:numPr>
          <w:ilvl w:val="1"/>
          <w:numId w:val="4"/>
        </w:numPr>
      </w:pPr>
      <w:r>
        <w:t>Review slides 1</w:t>
      </w:r>
      <w:r w:rsidR="008A5E34">
        <w:t>5</w:t>
      </w:r>
      <w:r>
        <w:t>-2</w:t>
      </w:r>
      <w:r w:rsidR="008A5E34">
        <w:t>6</w:t>
      </w:r>
    </w:p>
    <w:p w14:paraId="74C2AFFC" w14:textId="5D4A798C" w:rsidR="00CD5D4E" w:rsidRDefault="00CD5D4E" w:rsidP="00CD5D4E">
      <w:pPr>
        <w:pStyle w:val="ListParagraph"/>
        <w:numPr>
          <w:ilvl w:val="1"/>
          <w:numId w:val="4"/>
        </w:numPr>
      </w:pPr>
      <w:r>
        <w:t>Exercise: Participants break into groups of 3 and take 20 minutes to work through the following questions, referencing the chart on page 13:</w:t>
      </w:r>
    </w:p>
    <w:p w14:paraId="6BE64836" w14:textId="77777777" w:rsidR="00CD5D4E" w:rsidRDefault="00CD5D4E" w:rsidP="00CD5D4E">
      <w:pPr>
        <w:pStyle w:val="ListParagraph"/>
        <w:numPr>
          <w:ilvl w:val="2"/>
          <w:numId w:val="4"/>
        </w:numPr>
      </w:pPr>
      <w:r>
        <w:t>What level of engagement is most common in your work?</w:t>
      </w:r>
    </w:p>
    <w:p w14:paraId="7C6D2E95" w14:textId="77777777" w:rsidR="00CD5D4E" w:rsidRDefault="00CD5D4E" w:rsidP="00CD5D4E">
      <w:pPr>
        <w:pStyle w:val="ListParagraph"/>
        <w:numPr>
          <w:ilvl w:val="2"/>
          <w:numId w:val="4"/>
        </w:numPr>
      </w:pPr>
      <w:r>
        <w:t>What are examples of changes that would increase the level of engagement?</w:t>
      </w:r>
    </w:p>
    <w:p w14:paraId="45EB18FF" w14:textId="55B09448" w:rsidR="00CD5D4E" w:rsidRDefault="00CD5D4E" w:rsidP="00CD5D4E">
      <w:pPr>
        <w:pStyle w:val="ListParagraph"/>
        <w:numPr>
          <w:ilvl w:val="1"/>
          <w:numId w:val="4"/>
        </w:numPr>
      </w:pPr>
      <w:r>
        <w:t>10-minute report back and discussion of typical level of engagement and strategies to increase engagement.</w:t>
      </w:r>
    </w:p>
    <w:p w14:paraId="63A48785" w14:textId="77777777" w:rsidR="00CD5D4E" w:rsidRDefault="00CD5D4E" w:rsidP="00CD5D4E">
      <w:pPr>
        <w:pStyle w:val="ListParagraph"/>
        <w:ind w:left="1440"/>
      </w:pPr>
    </w:p>
    <w:p w14:paraId="7DA8FB9A" w14:textId="4DEADC30" w:rsidR="00EC5011" w:rsidRPr="00E94A5C" w:rsidRDefault="00EC5011" w:rsidP="00EC5011">
      <w:pPr>
        <w:pStyle w:val="ListParagraph"/>
        <w:numPr>
          <w:ilvl w:val="0"/>
          <w:numId w:val="4"/>
        </w:numPr>
        <w:rPr>
          <w:b/>
          <w:bCs/>
        </w:rPr>
      </w:pPr>
      <w:r w:rsidRPr="00E94A5C">
        <w:rPr>
          <w:b/>
          <w:bCs/>
        </w:rPr>
        <w:t>Good Neighbor Roadmap (</w:t>
      </w:r>
      <w:r w:rsidR="00CD5D4E" w:rsidRPr="00E94A5C">
        <w:rPr>
          <w:b/>
          <w:bCs/>
        </w:rPr>
        <w:t>6</w:t>
      </w:r>
      <w:r w:rsidRPr="00E94A5C">
        <w:rPr>
          <w:b/>
          <w:bCs/>
        </w:rPr>
        <w:t>0 min)</w:t>
      </w:r>
    </w:p>
    <w:p w14:paraId="56C92DB8" w14:textId="77777777" w:rsidR="00EC5011" w:rsidRDefault="00EC5011" w:rsidP="00EC5011">
      <w:pPr>
        <w:pStyle w:val="ListParagraph"/>
        <w:numPr>
          <w:ilvl w:val="1"/>
          <w:numId w:val="4"/>
        </w:numPr>
      </w:pPr>
      <w:r>
        <w:t>Question: What is a good neighbor roadmap?</w:t>
      </w:r>
    </w:p>
    <w:p w14:paraId="7EEBBF89" w14:textId="77777777" w:rsidR="00EC5011" w:rsidRDefault="00EC5011" w:rsidP="00EC5011">
      <w:pPr>
        <w:pStyle w:val="ListParagraph"/>
        <w:numPr>
          <w:ilvl w:val="1"/>
          <w:numId w:val="4"/>
        </w:numPr>
      </w:pPr>
      <w:r>
        <w:t xml:space="preserve">Overview </w:t>
      </w:r>
    </w:p>
    <w:p w14:paraId="351FE6DA" w14:textId="22931A43" w:rsidR="00EC5011" w:rsidRDefault="00EC5011" w:rsidP="00EC5011">
      <w:pPr>
        <w:pStyle w:val="ListParagraph"/>
        <w:numPr>
          <w:ilvl w:val="1"/>
          <w:numId w:val="4"/>
        </w:numPr>
      </w:pPr>
      <w:r>
        <w:t xml:space="preserve">Steps Slides </w:t>
      </w:r>
      <w:r w:rsidR="00E94A5C">
        <w:t>2</w:t>
      </w:r>
      <w:r w:rsidR="008A5E34">
        <w:t>7</w:t>
      </w:r>
      <w:r w:rsidR="00E94A5C">
        <w:t>-</w:t>
      </w:r>
      <w:r w:rsidR="008A5E34">
        <w:t>28</w:t>
      </w:r>
    </w:p>
    <w:p w14:paraId="23E80B3E" w14:textId="5180C7F1" w:rsidR="00EC5011" w:rsidRDefault="00EC5011" w:rsidP="00EC5011">
      <w:pPr>
        <w:pStyle w:val="ListParagraph"/>
        <w:numPr>
          <w:ilvl w:val="1"/>
          <w:numId w:val="4"/>
        </w:numPr>
      </w:pPr>
      <w:r>
        <w:t>What elements of a good neighbor roadmap are currently in place?</w:t>
      </w:r>
    </w:p>
    <w:p w14:paraId="5483526C" w14:textId="1298BA8A" w:rsidR="00CD5D4E" w:rsidRDefault="0052088C" w:rsidP="00EC5011">
      <w:pPr>
        <w:pStyle w:val="ListParagraph"/>
        <w:numPr>
          <w:ilvl w:val="1"/>
          <w:numId w:val="4"/>
        </w:numPr>
      </w:pPr>
      <w:r>
        <w:t>Self-Assessment</w:t>
      </w:r>
      <w:r w:rsidR="00CD5D4E">
        <w:t>: Participants take 10 minutes to work individually or in groups to complete self-assessment on page 20. Facilitate 10-minute report back and discussion of common barriers and roadblocks to key step in the process.</w:t>
      </w:r>
    </w:p>
    <w:p w14:paraId="18041F65" w14:textId="77777777" w:rsidR="00EC5011" w:rsidRDefault="00EC5011" w:rsidP="00EC5011">
      <w:pPr>
        <w:pStyle w:val="ListParagraph"/>
        <w:ind w:left="1440"/>
      </w:pPr>
    </w:p>
    <w:p w14:paraId="58C30211" w14:textId="07FCBAFD" w:rsidR="00EC5011" w:rsidRPr="00B729FF" w:rsidRDefault="00EC5011" w:rsidP="00EC5011">
      <w:pPr>
        <w:ind w:left="360"/>
        <w:rPr>
          <w:i/>
          <w:iCs/>
        </w:rPr>
      </w:pPr>
      <w:r>
        <w:rPr>
          <w:i/>
          <w:iCs/>
        </w:rPr>
        <w:t xml:space="preserve">Working Lunch </w:t>
      </w:r>
      <w:r w:rsidR="00961A0B">
        <w:rPr>
          <w:i/>
          <w:iCs/>
        </w:rPr>
        <w:t xml:space="preserve">(60 min) </w:t>
      </w:r>
      <w:r>
        <w:rPr>
          <w:i/>
          <w:iCs/>
        </w:rPr>
        <w:t>(recommend providing a lunch</w:t>
      </w:r>
      <w:r w:rsidR="00CD5D4E">
        <w:rPr>
          <w:i/>
          <w:iCs/>
        </w:rPr>
        <w:t xml:space="preserve"> and encouraging </w:t>
      </w:r>
      <w:r w:rsidR="00961A0B">
        <w:rPr>
          <w:i/>
          <w:iCs/>
        </w:rPr>
        <w:t>participants to sit with those they know less well; potential to offer fun ice-breaker discussion questions to identify commonalities among participants</w:t>
      </w:r>
      <w:r w:rsidR="00CD5D4E">
        <w:rPr>
          <w:i/>
          <w:iCs/>
        </w:rPr>
        <w:t>)</w:t>
      </w:r>
    </w:p>
    <w:p w14:paraId="2D3EBDDE" w14:textId="77777777" w:rsidR="00961A0B" w:rsidRPr="00E94A5C" w:rsidRDefault="00961A0B" w:rsidP="00B058CC">
      <w:pPr>
        <w:pStyle w:val="ListParagraph"/>
        <w:keepNext/>
        <w:numPr>
          <w:ilvl w:val="0"/>
          <w:numId w:val="4"/>
        </w:numPr>
        <w:rPr>
          <w:b/>
          <w:bCs/>
        </w:rPr>
      </w:pPr>
      <w:r w:rsidRPr="00E94A5C">
        <w:rPr>
          <w:b/>
          <w:bCs/>
        </w:rPr>
        <w:t>Steps 1 and 2 (60 min)</w:t>
      </w:r>
    </w:p>
    <w:p w14:paraId="5B06C8E9" w14:textId="5770B7F6" w:rsidR="00961A0B" w:rsidRDefault="00961A0B" w:rsidP="00B058CC">
      <w:pPr>
        <w:pStyle w:val="ListParagraph"/>
        <w:keepNext/>
        <w:numPr>
          <w:ilvl w:val="1"/>
          <w:numId w:val="4"/>
        </w:numPr>
      </w:pPr>
      <w:r>
        <w:t xml:space="preserve">Slides </w:t>
      </w:r>
      <w:r w:rsidR="008A5E34">
        <w:t>29</w:t>
      </w:r>
      <w:r w:rsidR="00E94A5C">
        <w:t>-3</w:t>
      </w:r>
      <w:r w:rsidR="008A5E34">
        <w:t>2</w:t>
      </w:r>
    </w:p>
    <w:p w14:paraId="2E5675A0" w14:textId="77777777" w:rsidR="00961A0B" w:rsidRDefault="00961A0B" w:rsidP="00B058CC">
      <w:pPr>
        <w:pStyle w:val="ListParagraph"/>
        <w:keepNext/>
        <w:numPr>
          <w:ilvl w:val="1"/>
          <w:numId w:val="4"/>
        </w:numPr>
      </w:pPr>
      <w:r>
        <w:t>Interactive Exercise: Invite participants to break into groups of 3. Select one of the “Try it Out” Exercises on pages 22-23 and invite them to spend 10-15 minutes working through the exercise together. Allow for 5 minutes for groups to share insights or highlights of what they learned during the exercise.</w:t>
      </w:r>
    </w:p>
    <w:p w14:paraId="45EB52F1" w14:textId="77777777" w:rsidR="00961A0B" w:rsidRDefault="00961A0B" w:rsidP="00B058CC">
      <w:pPr>
        <w:pStyle w:val="ListParagraph"/>
        <w:keepNext/>
        <w:numPr>
          <w:ilvl w:val="1"/>
          <w:numId w:val="4"/>
        </w:numPr>
      </w:pPr>
      <w:r>
        <w:t xml:space="preserve">Interactive Exercise: Invite participants to break into </w:t>
      </w:r>
      <w:r w:rsidRPr="00961A0B">
        <w:rPr>
          <w:i/>
          <w:iCs/>
        </w:rPr>
        <w:t>different</w:t>
      </w:r>
      <w:r>
        <w:t xml:space="preserve"> groups of 3. Select one of the “Try it Out” Exercises on pages 24-25 and invite them to spend 10-15 minutes working through the exercise together. Allow for 5 minutes for groups to share insights or highlights of what they learned during the exercise.</w:t>
      </w:r>
    </w:p>
    <w:p w14:paraId="0F3072C3" w14:textId="77777777" w:rsidR="00961A0B" w:rsidRDefault="00961A0B" w:rsidP="00961A0B">
      <w:pPr>
        <w:pStyle w:val="ListParagraph"/>
      </w:pPr>
    </w:p>
    <w:p w14:paraId="4C33240F" w14:textId="6FD9BCE4" w:rsidR="00EC5011" w:rsidRPr="00E94A5C" w:rsidRDefault="00EC5011" w:rsidP="00EC5011">
      <w:pPr>
        <w:pStyle w:val="ListParagraph"/>
        <w:numPr>
          <w:ilvl w:val="0"/>
          <w:numId w:val="4"/>
        </w:numPr>
        <w:rPr>
          <w:b/>
          <w:bCs/>
        </w:rPr>
      </w:pPr>
      <w:r w:rsidRPr="00E94A5C">
        <w:rPr>
          <w:b/>
          <w:bCs/>
        </w:rPr>
        <w:t>Steps 3 and 4 (</w:t>
      </w:r>
      <w:r w:rsidR="00961A0B" w:rsidRPr="00E94A5C">
        <w:rPr>
          <w:b/>
          <w:bCs/>
        </w:rPr>
        <w:t>6</w:t>
      </w:r>
      <w:r w:rsidRPr="00E94A5C">
        <w:rPr>
          <w:b/>
          <w:bCs/>
        </w:rPr>
        <w:t>0 min)</w:t>
      </w:r>
    </w:p>
    <w:p w14:paraId="60FB4424" w14:textId="0D46927E" w:rsidR="00EC5011" w:rsidRDefault="00EC5011" w:rsidP="00EC5011">
      <w:pPr>
        <w:pStyle w:val="ListParagraph"/>
        <w:numPr>
          <w:ilvl w:val="1"/>
          <w:numId w:val="4"/>
        </w:numPr>
      </w:pPr>
      <w:r>
        <w:t xml:space="preserve">Slides </w:t>
      </w:r>
      <w:r w:rsidR="00E94A5C">
        <w:t>3</w:t>
      </w:r>
      <w:r w:rsidR="008A5E34">
        <w:t>3</w:t>
      </w:r>
      <w:r w:rsidR="00E94A5C">
        <w:t>-3</w:t>
      </w:r>
      <w:r w:rsidR="008A5E34">
        <w:t>7</w:t>
      </w:r>
    </w:p>
    <w:p w14:paraId="2271FA1D" w14:textId="49F5FC73" w:rsidR="00EC5011" w:rsidRDefault="00EC5011" w:rsidP="00EC5011">
      <w:pPr>
        <w:pStyle w:val="ListParagraph"/>
        <w:numPr>
          <w:ilvl w:val="1"/>
          <w:numId w:val="4"/>
        </w:numPr>
      </w:pPr>
      <w:r>
        <w:t>Interactive Exercise: Invite participants to break into groups of 3. Select one of the “Try it Out” Exercises on pages 26-2</w:t>
      </w:r>
      <w:r w:rsidR="00961A0B">
        <w:t>7</w:t>
      </w:r>
      <w:r>
        <w:t xml:space="preserve"> and invite them to spend 10-15 minutes working through the exercise together. Allow for 5 minutes for groups to share insights or highlights of what they learned during the exercise.</w:t>
      </w:r>
    </w:p>
    <w:p w14:paraId="22CF0624" w14:textId="1FDD1F5D" w:rsidR="00961A0B" w:rsidRDefault="00961A0B" w:rsidP="00961A0B">
      <w:pPr>
        <w:pStyle w:val="ListParagraph"/>
        <w:numPr>
          <w:ilvl w:val="1"/>
          <w:numId w:val="4"/>
        </w:numPr>
      </w:pPr>
      <w:r>
        <w:t>Interactive Exercise: Invite participants to break into groups of 3. Select one of the “Try it Out” Exercises on pages 28-29 and invite them to spend 10-15 minutes working through the exercise together. Allow for 5 minutes for groups to share insights or highlights of what they learned during the exercise.</w:t>
      </w:r>
    </w:p>
    <w:p w14:paraId="0994E6A2" w14:textId="7769D842" w:rsidR="00EC5011" w:rsidRDefault="00EC5011" w:rsidP="00EC5011">
      <w:pPr>
        <w:pStyle w:val="ListParagraph"/>
        <w:ind w:left="1440"/>
      </w:pPr>
    </w:p>
    <w:p w14:paraId="329A4879" w14:textId="72FA98B0" w:rsidR="00FA6B1A" w:rsidRPr="007D0AD1" w:rsidRDefault="00FA6B1A" w:rsidP="007D0AD1">
      <w:pPr>
        <w:pStyle w:val="ListParagraph"/>
        <w:ind w:left="360"/>
        <w:rPr>
          <w:i/>
          <w:iCs/>
        </w:rPr>
      </w:pPr>
      <w:r w:rsidRPr="007D0AD1">
        <w:rPr>
          <w:i/>
          <w:iCs/>
        </w:rPr>
        <w:t>Break (15 min)</w:t>
      </w:r>
    </w:p>
    <w:p w14:paraId="691019BF" w14:textId="77777777" w:rsidR="00FA6B1A" w:rsidRDefault="00FA6B1A" w:rsidP="00EC5011">
      <w:pPr>
        <w:pStyle w:val="ListParagraph"/>
        <w:ind w:left="1440"/>
      </w:pPr>
    </w:p>
    <w:p w14:paraId="30607BE4" w14:textId="716B3826" w:rsidR="00EC5011" w:rsidRPr="00E94A5C" w:rsidRDefault="00EC5011" w:rsidP="00EC5011">
      <w:pPr>
        <w:pStyle w:val="ListParagraph"/>
        <w:numPr>
          <w:ilvl w:val="0"/>
          <w:numId w:val="4"/>
        </w:numPr>
        <w:rPr>
          <w:b/>
          <w:bCs/>
        </w:rPr>
      </w:pPr>
      <w:r w:rsidRPr="00E94A5C">
        <w:rPr>
          <w:b/>
          <w:bCs/>
        </w:rPr>
        <w:t>Steps 5 and 6 (</w:t>
      </w:r>
      <w:r w:rsidR="00961A0B" w:rsidRPr="00E94A5C">
        <w:rPr>
          <w:b/>
          <w:bCs/>
        </w:rPr>
        <w:t>6</w:t>
      </w:r>
      <w:r w:rsidRPr="00E94A5C">
        <w:rPr>
          <w:b/>
          <w:bCs/>
        </w:rPr>
        <w:t>0 min)</w:t>
      </w:r>
    </w:p>
    <w:p w14:paraId="007DA5A9" w14:textId="69826FB2" w:rsidR="00EC5011" w:rsidRDefault="00EC5011" w:rsidP="00EC5011">
      <w:pPr>
        <w:pStyle w:val="ListParagraph"/>
        <w:numPr>
          <w:ilvl w:val="1"/>
          <w:numId w:val="4"/>
        </w:numPr>
      </w:pPr>
      <w:r>
        <w:t xml:space="preserve">Slides </w:t>
      </w:r>
      <w:r w:rsidR="008A5E34">
        <w:t>38-41</w:t>
      </w:r>
    </w:p>
    <w:p w14:paraId="6F48F0F9" w14:textId="3596522E" w:rsidR="00EC5011" w:rsidRDefault="00EC5011" w:rsidP="00EC5011">
      <w:pPr>
        <w:pStyle w:val="ListParagraph"/>
        <w:numPr>
          <w:ilvl w:val="1"/>
          <w:numId w:val="4"/>
        </w:numPr>
      </w:pPr>
      <w:r>
        <w:t xml:space="preserve">Interactive Exercise: Invite participants to break into groups of 3. </w:t>
      </w:r>
      <w:r w:rsidR="00961A0B">
        <w:t>Reference</w:t>
      </w:r>
      <w:r>
        <w:t xml:space="preserve"> the “Try it Out” Exercise on page 31</w:t>
      </w:r>
      <w:r w:rsidR="00961A0B">
        <w:t xml:space="preserve"> </w:t>
      </w:r>
      <w:r>
        <w:t>and invite them to spend 10-15 minutes working through the exercise together. Allow for 5 minutes for groups to share insights or highlights of what they learned during the exercise.</w:t>
      </w:r>
    </w:p>
    <w:p w14:paraId="569B969B" w14:textId="4CB3F82C" w:rsidR="00961A0B" w:rsidRDefault="00961A0B" w:rsidP="00961A0B">
      <w:pPr>
        <w:pStyle w:val="ListParagraph"/>
        <w:numPr>
          <w:ilvl w:val="1"/>
          <w:numId w:val="4"/>
        </w:numPr>
      </w:pPr>
      <w:r>
        <w:t>Interactive Exercise: Invite participants to break into groups of 3. Reference the “Try it Out” Exercise on page 32 and invite them to spend 10-15 minutes working through the exercise together. Allow for 5 minutes for groups to share insights or highlights of what they learned during the exercise.</w:t>
      </w:r>
    </w:p>
    <w:p w14:paraId="5C518395" w14:textId="77777777" w:rsidR="00EC5011" w:rsidRDefault="00EC5011" w:rsidP="00EC5011">
      <w:pPr>
        <w:pStyle w:val="ListParagraph"/>
        <w:ind w:left="1440"/>
      </w:pPr>
    </w:p>
    <w:p w14:paraId="3E31CB90" w14:textId="31DF6219" w:rsidR="00EC5011" w:rsidRPr="00E94A5C" w:rsidRDefault="00EC5011" w:rsidP="00EC5011">
      <w:pPr>
        <w:pStyle w:val="ListParagraph"/>
        <w:numPr>
          <w:ilvl w:val="0"/>
          <w:numId w:val="4"/>
        </w:numPr>
        <w:rPr>
          <w:b/>
          <w:bCs/>
        </w:rPr>
      </w:pPr>
      <w:r w:rsidRPr="00E94A5C">
        <w:rPr>
          <w:b/>
          <w:bCs/>
        </w:rPr>
        <w:t>Closing (</w:t>
      </w:r>
      <w:r w:rsidR="00961A0B" w:rsidRPr="00E94A5C">
        <w:rPr>
          <w:b/>
          <w:bCs/>
        </w:rPr>
        <w:t>3</w:t>
      </w:r>
      <w:r w:rsidRPr="00E94A5C">
        <w:rPr>
          <w:b/>
          <w:bCs/>
        </w:rPr>
        <w:t>0 min)</w:t>
      </w:r>
    </w:p>
    <w:p w14:paraId="372DB520" w14:textId="377EF5CB" w:rsidR="00E94A5C" w:rsidRDefault="00E94A5C" w:rsidP="00EC5011">
      <w:pPr>
        <w:pStyle w:val="ListParagraph"/>
        <w:numPr>
          <w:ilvl w:val="1"/>
          <w:numId w:val="4"/>
        </w:numPr>
      </w:pPr>
      <w:r>
        <w:t>Slides 4</w:t>
      </w:r>
      <w:r w:rsidR="008A5E34">
        <w:t>2</w:t>
      </w:r>
      <w:r>
        <w:t>-4</w:t>
      </w:r>
      <w:r w:rsidR="008A5E34">
        <w:t>5</w:t>
      </w:r>
    </w:p>
    <w:p w14:paraId="175B2463" w14:textId="59373D0B" w:rsidR="00EC5011" w:rsidRDefault="00EC5011" w:rsidP="00EC5011">
      <w:pPr>
        <w:pStyle w:val="ListParagraph"/>
        <w:numPr>
          <w:ilvl w:val="1"/>
          <w:numId w:val="4"/>
        </w:numPr>
      </w:pPr>
      <w:r>
        <w:t>Please share one element from today’s training that you would like to learn more about or integrate in your work.</w:t>
      </w:r>
    </w:p>
    <w:p w14:paraId="1E8FB1F9" w14:textId="77777777" w:rsidR="00EC5011" w:rsidRDefault="00EC5011" w:rsidP="00EC5011">
      <w:pPr>
        <w:pStyle w:val="ListParagraph"/>
        <w:numPr>
          <w:ilvl w:val="1"/>
          <w:numId w:val="4"/>
        </w:numPr>
      </w:pPr>
      <w:r>
        <w:t>Share contact information and resources</w:t>
      </w:r>
    </w:p>
    <w:p w14:paraId="36706C03" w14:textId="77777777" w:rsidR="0090105A" w:rsidRDefault="0090105A" w:rsidP="0090105A">
      <w:pPr>
        <w:jc w:val="center"/>
      </w:pPr>
    </w:p>
    <w:sectPr w:rsidR="0090105A" w:rsidSect="007D0AD1">
      <w:headerReference w:type="default" r:id="rId15"/>
      <w:type w:val="continuous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5317" w14:textId="77777777" w:rsidR="000A1E94" w:rsidRDefault="000A1E94" w:rsidP="00F45983">
      <w:pPr>
        <w:spacing w:after="0" w:line="240" w:lineRule="auto"/>
      </w:pPr>
      <w:r>
        <w:separator/>
      </w:r>
    </w:p>
  </w:endnote>
  <w:endnote w:type="continuationSeparator" w:id="0">
    <w:p w14:paraId="43BD085A" w14:textId="77777777" w:rsidR="000A1E94" w:rsidRDefault="000A1E94" w:rsidP="00F45983">
      <w:pPr>
        <w:spacing w:after="0" w:line="240" w:lineRule="auto"/>
      </w:pPr>
      <w:r>
        <w:continuationSeparator/>
      </w:r>
    </w:p>
  </w:endnote>
  <w:endnote w:type="continuationNotice" w:id="1">
    <w:p w14:paraId="128AA24A" w14:textId="77777777" w:rsidR="000A1E94" w:rsidRDefault="000A1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27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EF30E" w14:textId="51DF3D2B" w:rsidR="00930502" w:rsidRDefault="00930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97E996" w14:textId="77777777" w:rsidR="00F45983" w:rsidRDefault="00F45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5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7D059" w14:textId="7742C206" w:rsidR="00B058CC" w:rsidRDefault="00B05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D5FC7" w14:textId="77777777" w:rsidR="00B058CC" w:rsidRDefault="00B05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8CB0" w14:textId="77777777" w:rsidR="000A1E94" w:rsidRDefault="000A1E94" w:rsidP="00F45983">
      <w:pPr>
        <w:spacing w:after="0" w:line="240" w:lineRule="auto"/>
      </w:pPr>
      <w:r>
        <w:separator/>
      </w:r>
    </w:p>
  </w:footnote>
  <w:footnote w:type="continuationSeparator" w:id="0">
    <w:p w14:paraId="4AF5E7BD" w14:textId="77777777" w:rsidR="000A1E94" w:rsidRDefault="000A1E94" w:rsidP="00F45983">
      <w:pPr>
        <w:spacing w:after="0" w:line="240" w:lineRule="auto"/>
      </w:pPr>
      <w:r>
        <w:continuationSeparator/>
      </w:r>
    </w:p>
  </w:footnote>
  <w:footnote w:type="continuationNotice" w:id="1">
    <w:p w14:paraId="5390EE50" w14:textId="77777777" w:rsidR="000A1E94" w:rsidRDefault="000A1E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710799" w14:paraId="59D05401" w14:textId="77777777" w:rsidTr="5C710799">
      <w:tc>
        <w:tcPr>
          <w:tcW w:w="3120" w:type="dxa"/>
        </w:tcPr>
        <w:p w14:paraId="6FBD693C" w14:textId="489D3C2A" w:rsidR="5C710799" w:rsidRDefault="5C710799" w:rsidP="007D0AD1">
          <w:pPr>
            <w:pStyle w:val="Header"/>
            <w:ind w:left="-115"/>
          </w:pPr>
        </w:p>
      </w:tc>
      <w:tc>
        <w:tcPr>
          <w:tcW w:w="3120" w:type="dxa"/>
        </w:tcPr>
        <w:p w14:paraId="65FCFF02" w14:textId="5230717E" w:rsidR="5C710799" w:rsidRDefault="5C710799" w:rsidP="007D0AD1">
          <w:pPr>
            <w:pStyle w:val="Header"/>
            <w:jc w:val="center"/>
          </w:pPr>
        </w:p>
      </w:tc>
      <w:tc>
        <w:tcPr>
          <w:tcW w:w="3120" w:type="dxa"/>
        </w:tcPr>
        <w:p w14:paraId="32467C6A" w14:textId="19B2A607" w:rsidR="5C710799" w:rsidRDefault="5C710799" w:rsidP="007D0AD1">
          <w:pPr>
            <w:pStyle w:val="Header"/>
            <w:ind w:right="-115"/>
            <w:jc w:val="right"/>
          </w:pPr>
        </w:p>
      </w:tc>
    </w:tr>
  </w:tbl>
  <w:p w14:paraId="4F7E4FB7" w14:textId="0BD8C55B" w:rsidR="5C710799" w:rsidRDefault="5C710799" w:rsidP="007D0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BF8F" w14:textId="2C48CDB4" w:rsidR="00B058CC" w:rsidRDefault="00B058CC">
    <w:pPr>
      <w:pStyle w:val="Header"/>
    </w:pPr>
    <w:r>
      <w:rPr>
        <w:noProof/>
      </w:rPr>
      <w:drawing>
        <wp:inline distT="0" distB="0" distL="0" distR="0" wp14:anchorId="58EDFFFF" wp14:editId="48CDF169">
          <wp:extent cx="1978152" cy="274320"/>
          <wp:effectExtent l="0" t="0" r="317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2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D50DB">
      <w:t xml:space="preserve">July </w:t>
    </w:r>
    <w: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710799" w14:paraId="26A449A6" w14:textId="77777777" w:rsidTr="5C710799">
      <w:tc>
        <w:tcPr>
          <w:tcW w:w="3120" w:type="dxa"/>
        </w:tcPr>
        <w:p w14:paraId="11286988" w14:textId="6D5996C2" w:rsidR="5C710799" w:rsidRDefault="5C710799" w:rsidP="007D0AD1">
          <w:pPr>
            <w:pStyle w:val="Header"/>
            <w:ind w:left="-115"/>
          </w:pPr>
        </w:p>
      </w:tc>
      <w:tc>
        <w:tcPr>
          <w:tcW w:w="3120" w:type="dxa"/>
        </w:tcPr>
        <w:p w14:paraId="46B2CBCD" w14:textId="6C34BB5B" w:rsidR="5C710799" w:rsidRDefault="5C710799" w:rsidP="007D0AD1">
          <w:pPr>
            <w:pStyle w:val="Header"/>
            <w:jc w:val="center"/>
          </w:pPr>
        </w:p>
      </w:tc>
      <w:tc>
        <w:tcPr>
          <w:tcW w:w="3120" w:type="dxa"/>
        </w:tcPr>
        <w:p w14:paraId="0B17473E" w14:textId="79901574" w:rsidR="5C710799" w:rsidRDefault="5C710799" w:rsidP="007D0AD1">
          <w:pPr>
            <w:pStyle w:val="Header"/>
            <w:ind w:right="-115"/>
            <w:jc w:val="right"/>
          </w:pPr>
        </w:p>
      </w:tc>
    </w:tr>
  </w:tbl>
  <w:p w14:paraId="1783C161" w14:textId="0AACA8EC" w:rsidR="5C710799" w:rsidRDefault="5C710799" w:rsidP="007D0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F7F"/>
    <w:multiLevelType w:val="hybridMultilevel"/>
    <w:tmpl w:val="BFF2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0798"/>
    <w:multiLevelType w:val="hybridMultilevel"/>
    <w:tmpl w:val="BFF2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7EF5"/>
    <w:multiLevelType w:val="hybridMultilevel"/>
    <w:tmpl w:val="BFF2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356D"/>
    <w:multiLevelType w:val="hybridMultilevel"/>
    <w:tmpl w:val="3340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C0EBE"/>
    <w:multiLevelType w:val="hybridMultilevel"/>
    <w:tmpl w:val="7C9A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A2"/>
    <w:rsid w:val="0000066E"/>
    <w:rsid w:val="000034AE"/>
    <w:rsid w:val="000069EB"/>
    <w:rsid w:val="000110BF"/>
    <w:rsid w:val="00025F14"/>
    <w:rsid w:val="0003417C"/>
    <w:rsid w:val="00043B75"/>
    <w:rsid w:val="00065442"/>
    <w:rsid w:val="00084AAA"/>
    <w:rsid w:val="000A1E94"/>
    <w:rsid w:val="000B0C07"/>
    <w:rsid w:val="000D08EE"/>
    <w:rsid w:val="000D4605"/>
    <w:rsid w:val="001647C6"/>
    <w:rsid w:val="00165F82"/>
    <w:rsid w:val="00183F59"/>
    <w:rsid w:val="001D53A0"/>
    <w:rsid w:val="001F779D"/>
    <w:rsid w:val="00262565"/>
    <w:rsid w:val="002A23A5"/>
    <w:rsid w:val="0032460B"/>
    <w:rsid w:val="003610ED"/>
    <w:rsid w:val="00382966"/>
    <w:rsid w:val="003930F2"/>
    <w:rsid w:val="003A20F5"/>
    <w:rsid w:val="003B212E"/>
    <w:rsid w:val="00411947"/>
    <w:rsid w:val="00421EEC"/>
    <w:rsid w:val="00425036"/>
    <w:rsid w:val="00462CCE"/>
    <w:rsid w:val="004B1843"/>
    <w:rsid w:val="00515D61"/>
    <w:rsid w:val="0052088C"/>
    <w:rsid w:val="00556905"/>
    <w:rsid w:val="0056163F"/>
    <w:rsid w:val="005B4236"/>
    <w:rsid w:val="005C0F58"/>
    <w:rsid w:val="005C67A1"/>
    <w:rsid w:val="005D75F3"/>
    <w:rsid w:val="005F1829"/>
    <w:rsid w:val="00614D6A"/>
    <w:rsid w:val="00616164"/>
    <w:rsid w:val="00620B8A"/>
    <w:rsid w:val="00624ED4"/>
    <w:rsid w:val="00666370"/>
    <w:rsid w:val="006E3B4A"/>
    <w:rsid w:val="007243F5"/>
    <w:rsid w:val="007350CD"/>
    <w:rsid w:val="00746B52"/>
    <w:rsid w:val="007541E1"/>
    <w:rsid w:val="0076786A"/>
    <w:rsid w:val="0079735A"/>
    <w:rsid w:val="007B7DA0"/>
    <w:rsid w:val="007D0AD1"/>
    <w:rsid w:val="007D5FD3"/>
    <w:rsid w:val="00833023"/>
    <w:rsid w:val="00833B93"/>
    <w:rsid w:val="00856DE3"/>
    <w:rsid w:val="00877CA3"/>
    <w:rsid w:val="008A4B70"/>
    <w:rsid w:val="008A5E34"/>
    <w:rsid w:val="008D41F0"/>
    <w:rsid w:val="008D4CE7"/>
    <w:rsid w:val="008D50DB"/>
    <w:rsid w:val="0090105A"/>
    <w:rsid w:val="00930502"/>
    <w:rsid w:val="00934A89"/>
    <w:rsid w:val="00942AD7"/>
    <w:rsid w:val="00961A0B"/>
    <w:rsid w:val="00981FD5"/>
    <w:rsid w:val="009F1A6E"/>
    <w:rsid w:val="00A02B03"/>
    <w:rsid w:val="00A066AD"/>
    <w:rsid w:val="00A07587"/>
    <w:rsid w:val="00A424AB"/>
    <w:rsid w:val="00AE6724"/>
    <w:rsid w:val="00AE6AE7"/>
    <w:rsid w:val="00B058CC"/>
    <w:rsid w:val="00B168C1"/>
    <w:rsid w:val="00B50FA8"/>
    <w:rsid w:val="00B553A2"/>
    <w:rsid w:val="00B729FF"/>
    <w:rsid w:val="00B730D4"/>
    <w:rsid w:val="00B86B3D"/>
    <w:rsid w:val="00B95CB6"/>
    <w:rsid w:val="00BC01A0"/>
    <w:rsid w:val="00BE01A2"/>
    <w:rsid w:val="00BF1B40"/>
    <w:rsid w:val="00C27224"/>
    <w:rsid w:val="00C346E4"/>
    <w:rsid w:val="00C51D32"/>
    <w:rsid w:val="00C85AC1"/>
    <w:rsid w:val="00C90B80"/>
    <w:rsid w:val="00CB42A7"/>
    <w:rsid w:val="00CB740E"/>
    <w:rsid w:val="00CD5D4E"/>
    <w:rsid w:val="00CF5F45"/>
    <w:rsid w:val="00D04A81"/>
    <w:rsid w:val="00D17438"/>
    <w:rsid w:val="00D21B4B"/>
    <w:rsid w:val="00D35126"/>
    <w:rsid w:val="00D41BA2"/>
    <w:rsid w:val="00D55C98"/>
    <w:rsid w:val="00D65761"/>
    <w:rsid w:val="00D72DE3"/>
    <w:rsid w:val="00D72F9D"/>
    <w:rsid w:val="00DA48B0"/>
    <w:rsid w:val="00DB49A1"/>
    <w:rsid w:val="00E11B2F"/>
    <w:rsid w:val="00E1392D"/>
    <w:rsid w:val="00E94A5C"/>
    <w:rsid w:val="00EC5011"/>
    <w:rsid w:val="00EF2339"/>
    <w:rsid w:val="00EF3098"/>
    <w:rsid w:val="00EF56DA"/>
    <w:rsid w:val="00EF5F13"/>
    <w:rsid w:val="00F45983"/>
    <w:rsid w:val="00F835AD"/>
    <w:rsid w:val="00F92A9B"/>
    <w:rsid w:val="00FA6B1A"/>
    <w:rsid w:val="02B8DB29"/>
    <w:rsid w:val="07A1CBCA"/>
    <w:rsid w:val="0805A300"/>
    <w:rsid w:val="0B25D51B"/>
    <w:rsid w:val="0C3BF330"/>
    <w:rsid w:val="0EDCE476"/>
    <w:rsid w:val="13B29EF3"/>
    <w:rsid w:val="1717C51F"/>
    <w:rsid w:val="178BBD61"/>
    <w:rsid w:val="18E15D4B"/>
    <w:rsid w:val="1A0A5BED"/>
    <w:rsid w:val="1BBE89D4"/>
    <w:rsid w:val="1BD0E5D4"/>
    <w:rsid w:val="1E58980B"/>
    <w:rsid w:val="2270DD9C"/>
    <w:rsid w:val="2288E1A1"/>
    <w:rsid w:val="23D5FD88"/>
    <w:rsid w:val="2598D71E"/>
    <w:rsid w:val="287BA6E0"/>
    <w:rsid w:val="289F507E"/>
    <w:rsid w:val="2AD8BC61"/>
    <w:rsid w:val="2B5E1EBF"/>
    <w:rsid w:val="2C3DCCF8"/>
    <w:rsid w:val="2CEA76C6"/>
    <w:rsid w:val="38BF3EFD"/>
    <w:rsid w:val="496606B1"/>
    <w:rsid w:val="4A78A9DD"/>
    <w:rsid w:val="4B477C59"/>
    <w:rsid w:val="4C34ABDB"/>
    <w:rsid w:val="4ED46EB0"/>
    <w:rsid w:val="4F788BA2"/>
    <w:rsid w:val="52F34F1D"/>
    <w:rsid w:val="551BBAC6"/>
    <w:rsid w:val="564A6685"/>
    <w:rsid w:val="56C554EB"/>
    <w:rsid w:val="578FC404"/>
    <w:rsid w:val="58B049B8"/>
    <w:rsid w:val="5A0C0D9E"/>
    <w:rsid w:val="5BEB0E61"/>
    <w:rsid w:val="5C710799"/>
    <w:rsid w:val="5FC0FF2B"/>
    <w:rsid w:val="61E58E7A"/>
    <w:rsid w:val="6225C8BD"/>
    <w:rsid w:val="63EF247F"/>
    <w:rsid w:val="6472E5E0"/>
    <w:rsid w:val="6B77E73A"/>
    <w:rsid w:val="6D9A0DCE"/>
    <w:rsid w:val="700E43A4"/>
    <w:rsid w:val="73B907C7"/>
    <w:rsid w:val="759AE510"/>
    <w:rsid w:val="77385295"/>
    <w:rsid w:val="7DE5F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4397FF"/>
  <w15:chartTrackingRefBased/>
  <w15:docId w15:val="{C4F953F1-3C26-4E7F-892B-CA98E7FF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53A2"/>
    <w:pPr>
      <w:ind w:left="720"/>
      <w:contextualSpacing/>
    </w:pPr>
  </w:style>
  <w:style w:type="table" w:styleId="TableGrid">
    <w:name w:val="Table Grid"/>
    <w:basedOn w:val="TableNormal"/>
    <w:uiPriority w:val="39"/>
    <w:rsid w:val="00B5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569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B740E"/>
    <w:pPr>
      <w:spacing w:after="0" w:line="240" w:lineRule="auto"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F4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83"/>
  </w:style>
  <w:style w:type="paragraph" w:styleId="Footer">
    <w:name w:val="footer"/>
    <w:basedOn w:val="Normal"/>
    <w:link w:val="FooterChar"/>
    <w:uiPriority w:val="99"/>
    <w:unhideWhenUsed/>
    <w:rsid w:val="00F4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83"/>
  </w:style>
  <w:style w:type="character" w:styleId="CommentReference">
    <w:name w:val="annotation reference"/>
    <w:basedOn w:val="DefaultParagraphFont"/>
    <w:uiPriority w:val="99"/>
    <w:semiHidden/>
    <w:unhideWhenUsed/>
    <w:rsid w:val="0002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F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B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epa.gov/community-port-collaboration/community-port-collaboration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pa.gov/community-port-collaboration/community-port-collaboration-toolk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4ECF4989F5E46B43244A699A7C3EE" ma:contentTypeVersion="29" ma:contentTypeDescription="Create a new document." ma:contentTypeScope="" ma:versionID="52f3d6eb455e7c77c4e34bed23d2c351">
  <xsd:schema xmlns:xsd="http://www.w3.org/2001/XMLSchema" xmlns:xs="http://www.w3.org/2001/XMLSchema" xmlns:p="http://schemas.microsoft.com/office/2006/metadata/properties" xmlns:ns2="906918b8-db1a-456d-a3fd-e97f140f6751" xmlns:ns3="7240a39a-c5b2-404d-9b59-2cc04b67793b" targetNamespace="http://schemas.microsoft.com/office/2006/metadata/properties" ma:root="true" ma:fieldsID="f5ac23358b3565e39a9d7ab8041ad597" ns2:_="" ns3:_="">
    <xsd:import namespace="906918b8-db1a-456d-a3fd-e97f140f6751"/>
    <xsd:import namespace="7240a39a-c5b2-404d-9b59-2cc04b677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8b8-db1a-456d-a3fd-e97f140f6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0a39a-c5b2-404d-9b59-2cc04b67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247FA-E4EA-4A43-A836-106C7641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18b8-db1a-456d-a3fd-e97f140f6751"/>
    <ds:schemaRef ds:uri="7240a39a-c5b2-404d-9b59-2cc04b677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FB02F-2DCE-4A2B-8395-E8AFF5A8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75FDA-7631-4373-8FA8-84BB85FBF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Community-Port Collaboration and Capacity Building Tools: Training Facilitators Guide (July 2020)</vt:lpstr>
    </vt:vector>
  </TitlesOfParts>
  <Company/>
  <LinksUpToDate>false</LinksUpToDate>
  <CharactersWithSpaces>13108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https://www.epa.gov/community-port-collaboration-and-capacity-building/collaboration-resources-ports-and-near-port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https://www.epa.gov/community-port-collaboration-and-capacity-building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Facilitators Resource for Community-Port Collaboration Toolkit (July 2020)</dc:title>
  <dc:subject>Facilitators training guide on near-port community capacity building tools: Ports Primer for Communities, Community Action Roadmap, Environmental Justice Primer; suitable for a range of audiences: federal/local government, community, industry leaders.</dc:subject>
  <dc:creator>U.S. EPA; OAR; Office of Transportation and Air Quality; Transportation and Climate Division</dc:creator>
  <cp:keywords>facilitators;training;modules;near;port;community;collaboration;building;tools;interactive;discussion;technical;assistance;federal;local;government;community;industry;leaders;stakeholders;partner;primer;roadmap;collaborative;tool;toolkit;exercises;agenda</cp:keywords>
  <dc:description/>
  <cp:lastModifiedBy>Schweinfurth, Rob</cp:lastModifiedBy>
  <cp:revision>3</cp:revision>
  <dcterms:created xsi:type="dcterms:W3CDTF">2020-07-01T15:27:00Z</dcterms:created>
  <dcterms:modified xsi:type="dcterms:W3CDTF">2020-07-01T15:31:00Z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0x010100E4C4ECF4989F5E46B43244A699A7C3EE</vt:lpwstr>
  </property>
</Properties>
</file>