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2DE4" w14:textId="77777777" w:rsidR="0058319F" w:rsidRDefault="0058319F" w:rsidP="00B04DD1">
      <w:pPr>
        <w:jc w:val="center"/>
      </w:pPr>
      <w:bookmarkStart w:id="0" w:name="_Hlk494310280"/>
    </w:p>
    <w:p w14:paraId="5A236F59" w14:textId="77777777" w:rsidR="0058319F" w:rsidRDefault="0058319F" w:rsidP="00B04DD1">
      <w:pPr>
        <w:jc w:val="center"/>
      </w:pPr>
    </w:p>
    <w:p w14:paraId="171F8E0A" w14:textId="77777777" w:rsidR="00A876BC" w:rsidRDefault="00B04DD1" w:rsidP="00B04DD1">
      <w:pPr>
        <w:jc w:val="center"/>
      </w:pPr>
      <w:bookmarkStart w:id="1" w:name="_Hlk494310867"/>
      <w:r>
        <w:t xml:space="preserve">Standard Operating Procedure for </w:t>
      </w:r>
    </w:p>
    <w:p w14:paraId="1C739C46" w14:textId="5485411B" w:rsidR="0058319F" w:rsidRDefault="00B04DD1" w:rsidP="00B04DD1">
      <w:pPr>
        <w:jc w:val="center"/>
      </w:pPr>
      <w:r>
        <w:t xml:space="preserve">the </w:t>
      </w:r>
      <w:r w:rsidR="00B45786">
        <w:t xml:space="preserve">Collection </w:t>
      </w:r>
      <w:r>
        <w:t xml:space="preserve">of </w:t>
      </w:r>
      <w:r w:rsidR="00F7411B">
        <w:t xml:space="preserve">Carbonyl Compounds </w:t>
      </w:r>
      <w:r>
        <w:t>in Ambient Air for the Photochemical Assessment Monitoring Station</w:t>
      </w:r>
      <w:r w:rsidR="006551BD">
        <w:t>s</w:t>
      </w:r>
      <w:r>
        <w:t xml:space="preserve"> (PAMS) Network</w:t>
      </w:r>
      <w:bookmarkEnd w:id="1"/>
      <w:r>
        <w:t xml:space="preserve"> </w:t>
      </w:r>
    </w:p>
    <w:p w14:paraId="1A3EF556" w14:textId="77777777" w:rsidR="00B04DD1" w:rsidRDefault="00B04DD1" w:rsidP="00B04DD1">
      <w:pPr>
        <w:jc w:val="center"/>
      </w:pPr>
    </w:p>
    <w:p w14:paraId="210A1F63" w14:textId="77777777" w:rsidR="0058319F" w:rsidRDefault="0058319F" w:rsidP="00B04DD1">
      <w:pPr>
        <w:jc w:val="center"/>
      </w:pPr>
    </w:p>
    <w:p w14:paraId="6AD43AEB" w14:textId="77777777" w:rsidR="00B879A9" w:rsidRDefault="00B879A9" w:rsidP="00B879A9">
      <w:pPr>
        <w:jc w:val="center"/>
      </w:pPr>
      <w:r>
        <w:t>Version 1.0</w:t>
      </w:r>
    </w:p>
    <w:p w14:paraId="749893F2" w14:textId="77777777" w:rsidR="00B879A9" w:rsidRDefault="00B879A9" w:rsidP="00B879A9">
      <w:pPr>
        <w:jc w:val="center"/>
      </w:pPr>
    </w:p>
    <w:p w14:paraId="1D23D677" w14:textId="133B23D3" w:rsidR="00B879A9" w:rsidRDefault="00B6420E" w:rsidP="00B879A9">
      <w:pPr>
        <w:jc w:val="center"/>
      </w:pPr>
      <w:r>
        <w:t>January 2020</w:t>
      </w:r>
    </w:p>
    <w:p w14:paraId="7B1E8116" w14:textId="77777777" w:rsidR="005F5B43" w:rsidRDefault="005F5B43" w:rsidP="00B879A9">
      <w:pPr>
        <w:jc w:val="center"/>
      </w:pPr>
    </w:p>
    <w:p w14:paraId="474D9961" w14:textId="77777777" w:rsidR="005F5B43" w:rsidRDefault="005F5B43" w:rsidP="00B879A9">
      <w:pPr>
        <w:jc w:val="center"/>
      </w:pPr>
    </w:p>
    <w:p w14:paraId="74402A49" w14:textId="77777777" w:rsidR="005F5B43" w:rsidRDefault="005F5B43" w:rsidP="00B879A9">
      <w:pPr>
        <w:jc w:val="center"/>
      </w:pPr>
    </w:p>
    <w:p w14:paraId="7928F431" w14:textId="77777777" w:rsidR="005F5B43" w:rsidRDefault="005F5B43" w:rsidP="00B879A9">
      <w:pPr>
        <w:jc w:val="center"/>
      </w:pPr>
    </w:p>
    <w:p w14:paraId="612E1447" w14:textId="77777777" w:rsidR="005F5B43" w:rsidRDefault="005F5B43" w:rsidP="00B879A9">
      <w:pPr>
        <w:jc w:val="center"/>
      </w:pPr>
    </w:p>
    <w:p w14:paraId="2DF94C58" w14:textId="77777777" w:rsidR="005F5B43" w:rsidRDefault="005F5B43" w:rsidP="00B879A9">
      <w:pPr>
        <w:jc w:val="center"/>
      </w:pPr>
    </w:p>
    <w:p w14:paraId="2723D22A" w14:textId="77777777" w:rsidR="005F5B43" w:rsidRDefault="005F5B43" w:rsidP="00B879A9">
      <w:pPr>
        <w:jc w:val="center"/>
      </w:pPr>
    </w:p>
    <w:p w14:paraId="1E96BE57" w14:textId="77777777" w:rsidR="005F5B43" w:rsidRDefault="005F5B43" w:rsidP="00B879A9">
      <w:pPr>
        <w:jc w:val="center"/>
      </w:pPr>
    </w:p>
    <w:p w14:paraId="59D6033C" w14:textId="77777777" w:rsidR="005F5B43" w:rsidRDefault="005F5B43" w:rsidP="00B879A9">
      <w:pPr>
        <w:jc w:val="center"/>
      </w:pPr>
    </w:p>
    <w:p w14:paraId="777CC687" w14:textId="77777777" w:rsidR="005F5B43" w:rsidRDefault="005F5B43" w:rsidP="00B879A9">
      <w:pPr>
        <w:jc w:val="center"/>
      </w:pPr>
    </w:p>
    <w:p w14:paraId="0E6F1A5F" w14:textId="77777777" w:rsidR="005F5B43" w:rsidRDefault="005F5B43" w:rsidP="00B879A9">
      <w:pPr>
        <w:jc w:val="center"/>
      </w:pPr>
    </w:p>
    <w:p w14:paraId="371EFED9" w14:textId="77777777" w:rsidR="005F5B43" w:rsidRDefault="005F5B43" w:rsidP="00B879A9">
      <w:pPr>
        <w:jc w:val="center"/>
      </w:pPr>
    </w:p>
    <w:p w14:paraId="0FF77A9D" w14:textId="77777777" w:rsidR="005F5B43" w:rsidRDefault="005F5B43" w:rsidP="005F5B43">
      <w:pPr>
        <w:autoSpaceDE w:val="0"/>
        <w:autoSpaceDN w:val="0"/>
        <w:adjustRightInd w:val="0"/>
        <w:jc w:val="center"/>
        <w:rPr>
          <w:rFonts w:ascii="TimesNewRomanPSMT" w:hAnsi="TimesNewRomanPSMT" w:cs="TimesNewRomanPSMT"/>
        </w:rPr>
      </w:pPr>
      <w:r>
        <w:rPr>
          <w:rFonts w:ascii="TimesNewRomanPSMT" w:hAnsi="TimesNewRomanPSMT" w:cs="TimesNewRomanPSMT"/>
        </w:rPr>
        <w:t>U.S. Environmental Protection Agency</w:t>
      </w:r>
    </w:p>
    <w:p w14:paraId="242788B1" w14:textId="77777777" w:rsidR="005F5B43" w:rsidRDefault="005F5B43" w:rsidP="005F5B43">
      <w:pPr>
        <w:autoSpaceDE w:val="0"/>
        <w:autoSpaceDN w:val="0"/>
        <w:adjustRightInd w:val="0"/>
        <w:jc w:val="center"/>
        <w:rPr>
          <w:rFonts w:ascii="TimesNewRomanPSMT" w:hAnsi="TimesNewRomanPSMT" w:cs="TimesNewRomanPSMT"/>
        </w:rPr>
      </w:pPr>
      <w:r>
        <w:rPr>
          <w:rFonts w:ascii="TimesNewRomanPSMT" w:hAnsi="TimesNewRomanPSMT" w:cs="TimesNewRomanPSMT"/>
        </w:rPr>
        <w:t>Office of Air Quality Planning and Standards</w:t>
      </w:r>
    </w:p>
    <w:p w14:paraId="1BB3B5DC" w14:textId="77777777" w:rsidR="005F5B43" w:rsidRDefault="005F5B43" w:rsidP="005F5B43">
      <w:pPr>
        <w:autoSpaceDE w:val="0"/>
        <w:autoSpaceDN w:val="0"/>
        <w:adjustRightInd w:val="0"/>
        <w:jc w:val="center"/>
        <w:rPr>
          <w:rFonts w:ascii="TimesNewRomanPSMT" w:hAnsi="TimesNewRomanPSMT" w:cs="TimesNewRomanPSMT"/>
        </w:rPr>
      </w:pPr>
      <w:r>
        <w:rPr>
          <w:rFonts w:ascii="TimesNewRomanPSMT" w:hAnsi="TimesNewRomanPSMT" w:cs="TimesNewRomanPSMT"/>
        </w:rPr>
        <w:t>Air Quality Assessment Division</w:t>
      </w:r>
    </w:p>
    <w:p w14:paraId="1C62EE50" w14:textId="58547E4E" w:rsidR="005F5B43" w:rsidRDefault="005F5B43" w:rsidP="005F5B43">
      <w:pPr>
        <w:jc w:val="center"/>
        <w:sectPr w:rsidR="005F5B43">
          <w:pgSz w:w="12240" w:h="15840"/>
          <w:pgMar w:top="1440" w:right="1800" w:bottom="1440" w:left="1800" w:header="720" w:footer="720" w:gutter="0"/>
          <w:cols w:space="720"/>
          <w:docGrid w:linePitch="360"/>
        </w:sectPr>
      </w:pPr>
      <w:bookmarkStart w:id="2" w:name="_GoBack"/>
      <w:bookmarkEnd w:id="2"/>
      <w:r>
        <w:rPr>
          <w:rFonts w:ascii="TimesNewRomanPSMT" w:hAnsi="TimesNewRomanPSMT" w:cs="TimesNewRomanPSMT"/>
        </w:rPr>
        <w:t>Research Triangle Park, NC</w:t>
      </w:r>
    </w:p>
    <w:p w14:paraId="33B41D75" w14:textId="77777777" w:rsidR="000A728E" w:rsidRDefault="000A728E"/>
    <w:p w14:paraId="1FDAF0BE" w14:textId="77777777" w:rsidR="00E80AA0" w:rsidRPr="00AC72E8" w:rsidRDefault="000B5D4D" w:rsidP="00CE3A32">
      <w:pPr>
        <w:pStyle w:val="ListParagraph"/>
        <w:numPr>
          <w:ilvl w:val="0"/>
          <w:numId w:val="2"/>
        </w:numPr>
        <w:ind w:left="360"/>
        <w:rPr>
          <w:b/>
        </w:rPr>
      </w:pPr>
      <w:r w:rsidRPr="00AC72E8">
        <w:rPr>
          <w:b/>
        </w:rPr>
        <w:t>SCOPE AND APPLICABILITY</w:t>
      </w:r>
    </w:p>
    <w:p w14:paraId="2D526E55" w14:textId="77777777" w:rsidR="002212A6" w:rsidRDefault="002212A6" w:rsidP="002212A6"/>
    <w:p w14:paraId="4E5F8D64" w14:textId="22ABB968" w:rsidR="002212A6" w:rsidRDefault="002212A6" w:rsidP="002212A6">
      <w:r>
        <w:t xml:space="preserve">This purpose of this standard operating procedure (SOP) is to describe the </w:t>
      </w:r>
      <w:r w:rsidR="00F7411B">
        <w:t xml:space="preserve">collection </w:t>
      </w:r>
      <w:r w:rsidR="00A81023">
        <w:t xml:space="preserve">of </w:t>
      </w:r>
      <w:r w:rsidR="007D5D72">
        <w:t xml:space="preserve">carbonyl compounds for </w:t>
      </w:r>
      <w:r w:rsidR="00972D6A">
        <w:t xml:space="preserve">the </w:t>
      </w:r>
      <w:r w:rsidR="00890604">
        <w:t>EPA Photochemical Assessment Monitoring Stations (PAMS) network</w:t>
      </w:r>
      <w:r>
        <w:t xml:space="preserve">.  </w:t>
      </w:r>
      <w:r w:rsidR="00890604">
        <w:t xml:space="preserve">This SOP describes the </w:t>
      </w:r>
      <w:r w:rsidR="000D0172">
        <w:t xml:space="preserve">collection of carbonyl compounds onto silica gel sorbent cartridge media impregnated with </w:t>
      </w:r>
      <w:proofErr w:type="spellStart"/>
      <w:r w:rsidR="000D0172">
        <w:t>diphenylhydrazine</w:t>
      </w:r>
      <w:proofErr w:type="spellEnd"/>
      <w:r w:rsidR="000D0172">
        <w:t xml:space="preserve"> (DNPH) as described in EPA Compendium Method TO-11A.</w:t>
      </w:r>
      <w:r w:rsidR="00907B87" w:rsidRPr="00907B87">
        <w:rPr>
          <w:vertAlign w:val="superscript"/>
        </w:rPr>
        <w:t>1</w:t>
      </w:r>
      <w:r w:rsidR="000D0172">
        <w:t xml:space="preserve">  </w:t>
      </w:r>
      <w:r w:rsidR="00E45231">
        <w:t xml:space="preserve">This SOP describes the procedures to be followed to collect three sequential 8-hour samples every third day, but does not describe the </w:t>
      </w:r>
      <w:r w:rsidR="00907D9B">
        <w:t>unique</w:t>
      </w:r>
      <w:r w:rsidR="00E45231">
        <w:t xml:space="preserve"> </w:t>
      </w:r>
      <w:r w:rsidR="00907D9B">
        <w:t>actions</w:t>
      </w:r>
      <w:r w:rsidR="00E45231">
        <w:t xml:space="preserve"> required </w:t>
      </w:r>
      <w:r w:rsidR="00907D9B">
        <w:t xml:space="preserve">to operate </w:t>
      </w:r>
      <w:r w:rsidR="00C430DB">
        <w:t xml:space="preserve">the </w:t>
      </w:r>
      <w:r w:rsidR="00907D9B">
        <w:t>specific</w:t>
      </w:r>
      <w:r w:rsidR="00E45231">
        <w:t xml:space="preserve"> </w:t>
      </w:r>
      <w:r w:rsidR="00C430DB">
        <w:t xml:space="preserve">sampling </w:t>
      </w:r>
      <w:r w:rsidR="00E45231">
        <w:t xml:space="preserve">instruments.  </w:t>
      </w:r>
      <w:r w:rsidR="00AB5980">
        <w:t>This SOP describes the handling, setup, collection, retrieval, and shipment of samples including field quality control samples</w:t>
      </w:r>
      <w:r w:rsidR="00870F61">
        <w:t xml:space="preserve">, but does not describe the </w:t>
      </w:r>
      <w:r w:rsidR="00907D9B">
        <w:t xml:space="preserve">sample receipt, </w:t>
      </w:r>
      <w:r w:rsidR="00870F61">
        <w:t>extraction</w:t>
      </w:r>
      <w:r w:rsidR="00907D9B">
        <w:t>,</w:t>
      </w:r>
      <w:r w:rsidR="00870F61">
        <w:t xml:space="preserve"> and analysis processes </w:t>
      </w:r>
      <w:r w:rsidR="003A6718">
        <w:t xml:space="preserve">performed </w:t>
      </w:r>
      <w:r w:rsidR="00870F61">
        <w:t>once the sample cartridges are received at the laboratory.</w:t>
      </w:r>
      <w:r w:rsidR="00AB5980">
        <w:t xml:space="preserve"> </w:t>
      </w:r>
    </w:p>
    <w:p w14:paraId="42C01F5A" w14:textId="77777777" w:rsidR="002212A6" w:rsidRDefault="002212A6" w:rsidP="002212A6"/>
    <w:p w14:paraId="5F7F9A5B" w14:textId="77777777" w:rsidR="00E80AA0" w:rsidRPr="00AC72E8" w:rsidRDefault="00E80AA0" w:rsidP="00DF4320">
      <w:pPr>
        <w:pStyle w:val="ListParagraph"/>
        <w:numPr>
          <w:ilvl w:val="0"/>
          <w:numId w:val="2"/>
        </w:numPr>
        <w:ind w:left="360"/>
        <w:rPr>
          <w:b/>
        </w:rPr>
      </w:pPr>
      <w:r w:rsidRPr="00AC72E8">
        <w:rPr>
          <w:b/>
        </w:rPr>
        <w:t>SUMMARY OF METHOD</w:t>
      </w:r>
    </w:p>
    <w:p w14:paraId="3D518D05" w14:textId="77777777" w:rsidR="00727A4C" w:rsidRDefault="00727A4C" w:rsidP="00727A4C"/>
    <w:p w14:paraId="7C9BCB3C" w14:textId="5B105AE1" w:rsidR="00017170" w:rsidRDefault="00B879A9" w:rsidP="00727A4C">
      <w:r>
        <w:t>A measured volume of a</w:t>
      </w:r>
      <w:r w:rsidR="00CC2D72">
        <w:t>mbient air is pulled by</w:t>
      </w:r>
      <w:r w:rsidR="00DE082E">
        <w:t xml:space="preserve"> a vacuum pump through an ozone denuder to </w:t>
      </w:r>
      <w:r w:rsidR="008E337A">
        <w:t>remove ozone</w:t>
      </w:r>
      <w:r w:rsidR="003A6718">
        <w:t>,</w:t>
      </w:r>
      <w:r w:rsidR="00AB6A8A">
        <w:t xml:space="preserve"> </w:t>
      </w:r>
      <w:r w:rsidR="008E337A">
        <w:t>which interferes with both the collection and analysis of the carbonyls</w:t>
      </w:r>
      <w:r w:rsidR="00CC2D72">
        <w:t xml:space="preserve">.  The </w:t>
      </w:r>
      <w:r w:rsidR="00870F61">
        <w:t>sampled</w:t>
      </w:r>
      <w:r w:rsidR="00CC2D72">
        <w:t xml:space="preserve"> air scrubbed of ozone is then passed through </w:t>
      </w:r>
      <w:r w:rsidR="008E337A">
        <w:t xml:space="preserve">a </w:t>
      </w:r>
      <w:r w:rsidR="00A6205F">
        <w:t>silica gel sorbent cartridge impregnated with DNPH</w:t>
      </w:r>
      <w:r w:rsidR="00CC2D72">
        <w:t xml:space="preserve"> where </w:t>
      </w:r>
      <w:r w:rsidR="00DE082E">
        <w:t xml:space="preserve">carbonyls </w:t>
      </w:r>
      <w:r w:rsidR="008E337A">
        <w:t xml:space="preserve">in the sampled air stream react with </w:t>
      </w:r>
      <w:r w:rsidR="00CC2D72">
        <w:t>DNPH to form</w:t>
      </w:r>
      <w:r w:rsidR="00DE082E">
        <w:t xml:space="preserve"> stable carbonyl </w:t>
      </w:r>
      <w:proofErr w:type="spellStart"/>
      <w:r w:rsidR="00CC2D72">
        <w:t>hydrazo</w:t>
      </w:r>
      <w:r w:rsidR="00DE082E">
        <w:t>ne</w:t>
      </w:r>
      <w:r w:rsidR="00CC2D72">
        <w:t>s</w:t>
      </w:r>
      <w:proofErr w:type="spellEnd"/>
      <w:r w:rsidR="00870F61">
        <w:t xml:space="preserve">.  These stable carbonyl </w:t>
      </w:r>
      <w:proofErr w:type="spellStart"/>
      <w:r w:rsidR="00870F61">
        <w:t>hydrazones</w:t>
      </w:r>
      <w:proofErr w:type="spellEnd"/>
      <w:r w:rsidR="00870F61">
        <w:t xml:space="preserve"> are </w:t>
      </w:r>
      <w:r w:rsidR="00DE082E">
        <w:t>maintaine</w:t>
      </w:r>
      <w:r w:rsidR="00CC2D72">
        <w:t>d within the sorbent bed</w:t>
      </w:r>
      <w:r w:rsidR="0078366E">
        <w:t xml:space="preserve"> until extraction at the analysis laboratory</w:t>
      </w:r>
      <w:r w:rsidR="00CC2D72">
        <w:t xml:space="preserve">.  </w:t>
      </w:r>
      <w:r w:rsidR="008E337A">
        <w:t>Carbonyl sampling for the PAMS program involve</w:t>
      </w:r>
      <w:r w:rsidR="0078366E">
        <w:t>s</w:t>
      </w:r>
      <w:r w:rsidR="008E337A">
        <w:t xml:space="preserve"> collecting three consecutive 8-hour samples on a 1-in-3 days schedule</w:t>
      </w:r>
      <w:r w:rsidR="00907B87">
        <w:t xml:space="preserve"> as required in 40 CFR Part 58 Appendix D</w:t>
      </w:r>
      <w:r w:rsidR="00340339">
        <w:t>, Section 5h</w:t>
      </w:r>
      <w:r w:rsidR="008E337A">
        <w:t>.</w:t>
      </w:r>
      <w:r w:rsidR="00340339" w:rsidRPr="00340339">
        <w:rPr>
          <w:vertAlign w:val="superscript"/>
        </w:rPr>
        <w:t>2</w:t>
      </w:r>
      <w:r w:rsidR="008E337A">
        <w:t xml:space="preserve">  Cartridges are retrieved </w:t>
      </w:r>
      <w:r>
        <w:t xml:space="preserve">ideally </w:t>
      </w:r>
      <w:r w:rsidR="008E337A">
        <w:t xml:space="preserve">within </w:t>
      </w:r>
      <w:r>
        <w:t>48 hours (not to exceed 72</w:t>
      </w:r>
      <w:r w:rsidR="008E337A">
        <w:t xml:space="preserve"> hours</w:t>
      </w:r>
      <w:r>
        <w:t>)</w:t>
      </w:r>
      <w:r w:rsidR="008E337A">
        <w:t xml:space="preserve"> of completion of the last of the three sequential samples and </w:t>
      </w:r>
      <w:r w:rsidR="00907D9B">
        <w:t xml:space="preserve">are </w:t>
      </w:r>
      <w:r w:rsidR="008E337A">
        <w:t>stored and transported refrigerated and protected from light</w:t>
      </w:r>
      <w:r w:rsidR="00E45231">
        <w:t xml:space="preserve">. </w:t>
      </w:r>
      <w:r w:rsidR="007F49F0">
        <w:t xml:space="preserve"> </w:t>
      </w:r>
      <w:r w:rsidR="00E45231">
        <w:t>Sample</w:t>
      </w:r>
      <w:r>
        <w:t xml:space="preserve"> cartridges</w:t>
      </w:r>
      <w:r w:rsidR="00E45231">
        <w:t xml:space="preserve"> must be extracted for analysis within 14 days of collection.  Extracts are then analyzed by high performance liquid chromatography (HPLC) and the</w:t>
      </w:r>
      <w:r w:rsidR="00907D9B">
        <w:t xml:space="preserve"> carbonyl concentrations in the ambient air sample calculated from the measured concentrations in the sample extracts</w:t>
      </w:r>
      <w:r w:rsidR="003A6718">
        <w:t xml:space="preserve"> and the volume of air sampled </w:t>
      </w:r>
      <w:r>
        <w:t>through</w:t>
      </w:r>
      <w:r w:rsidR="003A6718">
        <w:t xml:space="preserve"> the cartridge</w:t>
      </w:r>
      <w:r w:rsidR="00E45231">
        <w:t>.</w:t>
      </w:r>
    </w:p>
    <w:p w14:paraId="7FD0B581" w14:textId="77777777" w:rsidR="00C92499" w:rsidRDefault="00C92499" w:rsidP="00C92499"/>
    <w:p w14:paraId="04D007AF" w14:textId="77777777" w:rsidR="000920BE" w:rsidRPr="00AC72E8" w:rsidRDefault="00E80AA0" w:rsidP="00DF4320">
      <w:pPr>
        <w:pStyle w:val="ListParagraph"/>
        <w:numPr>
          <w:ilvl w:val="0"/>
          <w:numId w:val="2"/>
        </w:numPr>
        <w:ind w:left="360"/>
        <w:rPr>
          <w:b/>
        </w:rPr>
      </w:pPr>
      <w:r w:rsidRPr="00AC72E8">
        <w:rPr>
          <w:b/>
        </w:rPr>
        <w:t>DEFINITIONS</w:t>
      </w:r>
      <w:r w:rsidR="000824B4" w:rsidRPr="00AC72E8">
        <w:rPr>
          <w:b/>
        </w:rPr>
        <w:t xml:space="preserve"> AND ABBREVIATIONS</w:t>
      </w:r>
      <w:r w:rsidR="004368D8" w:rsidRPr="00AC72E8">
        <w:rPr>
          <w:b/>
        </w:rPr>
        <w:br/>
      </w:r>
    </w:p>
    <w:p w14:paraId="17E68778" w14:textId="5DC6C876" w:rsidR="004072E6" w:rsidRPr="004072E6" w:rsidRDefault="004072E6" w:rsidP="004368D8">
      <w:pPr>
        <w:pStyle w:val="ListParagraph"/>
        <w:numPr>
          <w:ilvl w:val="0"/>
          <w:numId w:val="4"/>
        </w:numPr>
        <w:spacing w:after="120"/>
        <w:contextualSpacing w:val="0"/>
      </w:pPr>
      <w:r w:rsidRPr="004072E6">
        <w:rPr>
          <w:b/>
          <w:bCs/>
        </w:rPr>
        <w:t>Ambient Monitoring Technology Information Center (AMTIC)</w:t>
      </w:r>
      <w:r>
        <w:t>:  EPA website resource for information on ambient air monitoring programs and methods, quality assurance and control procedures, and federal regulations.</w:t>
      </w:r>
      <w:r w:rsidR="00C430DB">
        <w:t xml:space="preserve"> </w:t>
      </w:r>
      <w:hyperlink r:id="rId8" w:history="1">
        <w:r w:rsidR="00C430DB">
          <w:rPr>
            <w:rStyle w:val="Hyperlink"/>
          </w:rPr>
          <w:t>https://www.epa.gov/amtic</w:t>
        </w:r>
      </w:hyperlink>
    </w:p>
    <w:p w14:paraId="3BC374C1" w14:textId="33D1EFBA" w:rsidR="004368D8" w:rsidRDefault="004368D8" w:rsidP="004368D8">
      <w:pPr>
        <w:pStyle w:val="ListParagraph"/>
        <w:numPr>
          <w:ilvl w:val="0"/>
          <w:numId w:val="4"/>
        </w:numPr>
        <w:spacing w:after="120"/>
        <w:contextualSpacing w:val="0"/>
      </w:pPr>
      <w:r w:rsidRPr="00170228">
        <w:rPr>
          <w:b/>
        </w:rPr>
        <w:t>Carbonyl Compound</w:t>
      </w:r>
      <w:r w:rsidRPr="00E56F8B">
        <w:t xml:space="preserve">:  Organic compound containing a carbon atom double-bonded to an oxygen atom, C=O.  Classes of carbonyl compounds include, but are not limited </w:t>
      </w:r>
      <w:proofErr w:type="gramStart"/>
      <w:r w:rsidRPr="00E56F8B">
        <w:t>to:</w:t>
      </w:r>
      <w:proofErr w:type="gramEnd"/>
      <w:r w:rsidRPr="00E56F8B">
        <w:t xml:space="preserve">  aldehydes, ketones, carboxylic acids, and esters.</w:t>
      </w:r>
    </w:p>
    <w:p w14:paraId="5462E215" w14:textId="77777777" w:rsidR="004368D8" w:rsidRPr="009119D6" w:rsidRDefault="004368D8" w:rsidP="004368D8">
      <w:pPr>
        <w:pStyle w:val="ListParagraph"/>
        <w:numPr>
          <w:ilvl w:val="0"/>
          <w:numId w:val="4"/>
        </w:numPr>
        <w:spacing w:after="120"/>
        <w:contextualSpacing w:val="0"/>
      </w:pPr>
      <w:r w:rsidRPr="009119D6">
        <w:rPr>
          <w:b/>
        </w:rPr>
        <w:t>DNPH:</w:t>
      </w:r>
      <w:r w:rsidRPr="009119D6">
        <w:t xml:space="preserve">  </w:t>
      </w:r>
      <w:proofErr w:type="spellStart"/>
      <w:r w:rsidRPr="009119D6">
        <w:t>diphenylhydrazine</w:t>
      </w:r>
      <w:proofErr w:type="spellEnd"/>
      <w:r w:rsidRPr="009119D6">
        <w:t xml:space="preserve"> – derivatizing agent </w:t>
      </w:r>
    </w:p>
    <w:p w14:paraId="708834E4" w14:textId="7753E678" w:rsidR="00735183" w:rsidRPr="004368D8" w:rsidRDefault="00735183" w:rsidP="00735183">
      <w:pPr>
        <w:pStyle w:val="ListParagraph"/>
        <w:numPr>
          <w:ilvl w:val="0"/>
          <w:numId w:val="4"/>
        </w:numPr>
        <w:spacing w:after="120"/>
        <w:contextualSpacing w:val="0"/>
      </w:pPr>
      <w:r w:rsidRPr="005F0F36">
        <w:rPr>
          <w:b/>
        </w:rPr>
        <w:t>Field Quality Control (QC) Samples:</w:t>
      </w:r>
      <w:r>
        <w:t xml:space="preserve">  Samples additional to collected ambient air samples employed to characterize field bias, precision, or contamination.  Such </w:t>
      </w:r>
      <w:r>
        <w:lastRenderedPageBreak/>
        <w:t xml:space="preserve">field QC samples </w:t>
      </w:r>
      <w:proofErr w:type="gramStart"/>
      <w:r>
        <w:t>include:</w:t>
      </w:r>
      <w:proofErr w:type="gramEnd"/>
      <w:r>
        <w:t xml:space="preserve">  </w:t>
      </w:r>
      <w:r w:rsidR="00B879A9">
        <w:t>f</w:t>
      </w:r>
      <w:r>
        <w:t xml:space="preserve">ield </w:t>
      </w:r>
      <w:r w:rsidR="00B879A9">
        <w:t>b</w:t>
      </w:r>
      <w:r>
        <w:t>lank</w:t>
      </w:r>
      <w:r w:rsidR="00B879A9">
        <w:t xml:space="preserve"> (FB)</w:t>
      </w:r>
      <w:r>
        <w:t xml:space="preserve">, </w:t>
      </w:r>
      <w:r w:rsidR="00B879A9">
        <w:t>t</w:t>
      </w:r>
      <w:r>
        <w:t xml:space="preserve">rip </w:t>
      </w:r>
      <w:r w:rsidR="00B879A9">
        <w:t>b</w:t>
      </w:r>
      <w:r>
        <w:t>lank</w:t>
      </w:r>
      <w:r w:rsidR="00B879A9">
        <w:t xml:space="preserve"> (TB)</w:t>
      </w:r>
      <w:r>
        <w:t xml:space="preserve">, </w:t>
      </w:r>
      <w:r w:rsidR="00B879A9">
        <w:t>e</w:t>
      </w:r>
      <w:r>
        <w:t xml:space="preserve">xposure </w:t>
      </w:r>
      <w:r w:rsidR="00B879A9">
        <w:t>b</w:t>
      </w:r>
      <w:r>
        <w:t>lank</w:t>
      </w:r>
      <w:r w:rsidR="00B879A9">
        <w:t xml:space="preserve"> (EB)</w:t>
      </w:r>
      <w:r>
        <w:t xml:space="preserve">, </w:t>
      </w:r>
      <w:r w:rsidR="00B879A9">
        <w:t>d</w:t>
      </w:r>
      <w:r>
        <w:t xml:space="preserve">uplicate, and </w:t>
      </w:r>
      <w:r w:rsidR="00B879A9">
        <w:t>c</w:t>
      </w:r>
      <w:r>
        <w:t xml:space="preserve">ollocated </w:t>
      </w:r>
      <w:r w:rsidR="00B879A9">
        <w:t>s</w:t>
      </w:r>
      <w:r>
        <w:t>amples.</w:t>
      </w:r>
    </w:p>
    <w:p w14:paraId="3461F2EF" w14:textId="44944CDE" w:rsidR="00735183" w:rsidRPr="005F0F36" w:rsidRDefault="00735183" w:rsidP="00735183">
      <w:pPr>
        <w:pStyle w:val="ListParagraph"/>
        <w:numPr>
          <w:ilvl w:val="0"/>
          <w:numId w:val="4"/>
        </w:numPr>
        <w:spacing w:after="120"/>
        <w:contextualSpacing w:val="0"/>
      </w:pPr>
      <w:r w:rsidRPr="005F0F36">
        <w:rPr>
          <w:b/>
        </w:rPr>
        <w:t>High Performance Liquid Chromatograph (HPLC):</w:t>
      </w:r>
      <w:r w:rsidRPr="005F0F36">
        <w:t xml:space="preserve">  Instrument employed for the analysis of collected carbonyl compounds by separation and detection of derivatized carbonyl-</w:t>
      </w:r>
      <w:proofErr w:type="spellStart"/>
      <w:r w:rsidRPr="005F0F36">
        <w:t>hydrazones</w:t>
      </w:r>
      <w:proofErr w:type="spellEnd"/>
      <w:r w:rsidR="00B879A9">
        <w:t xml:space="preserve">. </w:t>
      </w:r>
      <w:r w:rsidR="00406C41">
        <w:t xml:space="preserve"> </w:t>
      </w:r>
      <w:r w:rsidR="00B879A9">
        <w:t>For the purposes of this method ultra-</w:t>
      </w:r>
      <w:proofErr w:type="gramStart"/>
      <w:r w:rsidR="00B879A9">
        <w:t>high performance</w:t>
      </w:r>
      <w:proofErr w:type="gramEnd"/>
      <w:r w:rsidR="00B879A9">
        <w:t xml:space="preserve"> liquid chromatography (UHPLC) may meet the method performance specifications.</w:t>
      </w:r>
    </w:p>
    <w:p w14:paraId="31BE2528" w14:textId="77777777" w:rsidR="00735183" w:rsidRPr="00170228" w:rsidRDefault="00735183" w:rsidP="00735183">
      <w:pPr>
        <w:pStyle w:val="ListParagraph"/>
        <w:numPr>
          <w:ilvl w:val="0"/>
          <w:numId w:val="4"/>
        </w:numPr>
        <w:spacing w:after="120"/>
        <w:contextualSpacing w:val="0"/>
      </w:pPr>
      <w:r w:rsidRPr="00170228">
        <w:rPr>
          <w:b/>
        </w:rPr>
        <w:t>Mass flow controller (MFC)</w:t>
      </w:r>
      <w:r w:rsidRPr="00170228">
        <w:t xml:space="preserve">:  Device </w:t>
      </w:r>
      <w:r w:rsidR="00AC72E8">
        <w:t>that</w:t>
      </w:r>
      <w:r w:rsidRPr="00170228">
        <w:t xml:space="preserve"> controls flow </w:t>
      </w:r>
      <w:r w:rsidR="0099325E">
        <w:t xml:space="preserve">of </w:t>
      </w:r>
      <w:r w:rsidRPr="00170228">
        <w:t xml:space="preserve">a specific gas by adjusting a flow control valve by measuring thermal differences within a capillary tube between temperature sensors upstream and downstream from a heater.  The difference in temperature between the sensors is translated to set the gas flow to a calibrated known flow via the flow control valve. </w:t>
      </w:r>
    </w:p>
    <w:p w14:paraId="66A44AB8" w14:textId="13A3CCE6" w:rsidR="00735183" w:rsidRPr="00170228" w:rsidRDefault="00735183" w:rsidP="00735183">
      <w:pPr>
        <w:pStyle w:val="ListParagraph"/>
        <w:numPr>
          <w:ilvl w:val="0"/>
          <w:numId w:val="4"/>
        </w:numPr>
        <w:spacing w:after="120"/>
        <w:contextualSpacing w:val="0"/>
      </w:pPr>
      <w:r>
        <w:rPr>
          <w:b/>
        </w:rPr>
        <w:t>Measurement Quality O</w:t>
      </w:r>
      <w:r w:rsidRPr="00170228">
        <w:rPr>
          <w:b/>
        </w:rPr>
        <w:t>bjective (MQO)</w:t>
      </w:r>
      <w:r w:rsidRPr="00170228">
        <w:t>:  Criteria prescribed for a given measurement or set of measurements</w:t>
      </w:r>
      <w:r w:rsidR="0099325E">
        <w:t>,</w:t>
      </w:r>
      <w:r w:rsidRPr="00170228">
        <w:t xml:space="preserve"> which may </w:t>
      </w:r>
      <w:r w:rsidR="0099325E">
        <w:t>include</w:t>
      </w:r>
      <w:r w:rsidR="0099325E" w:rsidRPr="00170228">
        <w:t xml:space="preserve"> </w:t>
      </w:r>
      <w:r w:rsidRPr="00170228">
        <w:t xml:space="preserve">bias, precision, completeness, frequency, and sensitivity. </w:t>
      </w:r>
    </w:p>
    <w:p w14:paraId="47D350DB" w14:textId="77777777" w:rsidR="00735183" w:rsidRPr="00170228" w:rsidRDefault="00735183" w:rsidP="00735183">
      <w:pPr>
        <w:pStyle w:val="ListParagraph"/>
        <w:numPr>
          <w:ilvl w:val="0"/>
          <w:numId w:val="4"/>
        </w:numPr>
        <w:spacing w:after="120"/>
        <w:contextualSpacing w:val="0"/>
      </w:pPr>
      <w:r w:rsidRPr="005F0F36">
        <w:rPr>
          <w:b/>
        </w:rPr>
        <w:t>NIST:</w:t>
      </w:r>
      <w:r>
        <w:t xml:space="preserve">  </w:t>
      </w:r>
      <w:r w:rsidRPr="00170228">
        <w:t>National Institute of</w:t>
      </w:r>
      <w:r>
        <w:t xml:space="preserve"> Standards and Technology</w:t>
      </w:r>
    </w:p>
    <w:p w14:paraId="10D1BD80" w14:textId="1158CAF4" w:rsidR="00735183" w:rsidRPr="00170228" w:rsidRDefault="00735183" w:rsidP="009119D6">
      <w:pPr>
        <w:pStyle w:val="ListParagraph"/>
        <w:numPr>
          <w:ilvl w:val="0"/>
          <w:numId w:val="4"/>
        </w:numPr>
        <w:spacing w:after="120"/>
        <w:contextualSpacing w:val="0"/>
      </w:pPr>
      <w:r w:rsidRPr="005E17C8">
        <w:rPr>
          <w:b/>
        </w:rPr>
        <w:t>Ozone Denuder:</w:t>
      </w:r>
      <w:r w:rsidRPr="00E56F8B">
        <w:t xml:space="preserve">  </w:t>
      </w:r>
      <w:r>
        <w:t xml:space="preserve">Device used to remove ozone from a sampled gas stream.  For this method, the ozone denuder consists of a length of copper </w:t>
      </w:r>
      <w:r w:rsidR="00B879A9">
        <w:t xml:space="preserve">(or stainless steel) </w:t>
      </w:r>
      <w:r>
        <w:t>tubing onto which potassium iodide (KI) has been deposited, covering all copper surfaces.  Ozone in the sampled gas stream reacts with the KI and is eliminated from the sampled gas.</w:t>
      </w:r>
    </w:p>
    <w:p w14:paraId="595F861B" w14:textId="4F388B47" w:rsidR="00735183" w:rsidRPr="00DE6D51" w:rsidRDefault="00735183" w:rsidP="00735183">
      <w:pPr>
        <w:pStyle w:val="ListParagraph"/>
        <w:numPr>
          <w:ilvl w:val="0"/>
          <w:numId w:val="4"/>
        </w:numPr>
        <w:spacing w:after="120"/>
        <w:contextualSpacing w:val="0"/>
      </w:pPr>
      <w:r w:rsidRPr="005F0F36">
        <w:rPr>
          <w:b/>
        </w:rPr>
        <w:t>PAMS:</w:t>
      </w:r>
      <w:r w:rsidRPr="00170228">
        <w:t xml:space="preserve">  Photochemical Assessment Monitoring Station</w:t>
      </w:r>
      <w:r w:rsidR="006551BD">
        <w:t>s</w:t>
      </w:r>
      <w:r w:rsidRPr="00170228">
        <w:rPr>
          <w:b/>
        </w:rPr>
        <w:t xml:space="preserve"> </w:t>
      </w:r>
    </w:p>
    <w:p w14:paraId="40A892E6" w14:textId="77777777" w:rsidR="00735183" w:rsidRPr="00170228" w:rsidRDefault="00735183" w:rsidP="00735183">
      <w:pPr>
        <w:pStyle w:val="ListParagraph"/>
        <w:numPr>
          <w:ilvl w:val="0"/>
          <w:numId w:val="4"/>
        </w:numPr>
        <w:spacing w:after="120"/>
        <w:contextualSpacing w:val="0"/>
      </w:pPr>
      <w:r w:rsidRPr="00170228">
        <w:rPr>
          <w:b/>
        </w:rPr>
        <w:t>Part per billion carbon (ppbC)</w:t>
      </w:r>
      <w:r w:rsidRPr="00170228">
        <w:t>:  Concentration unit of measurement equivalent to a mixing ratio of 10</w:t>
      </w:r>
      <w:r w:rsidRPr="00170228">
        <w:rPr>
          <w:vertAlign w:val="superscript"/>
        </w:rPr>
        <w:t>-9</w:t>
      </w:r>
      <w:r w:rsidRPr="00170228">
        <w:t xml:space="preserve"> L (or moles) of carbon content of a trace gas in 1 L (or mole) of diluent.  One ppbC is equivalent to 2.46</w:t>
      </w:r>
      <w:r w:rsidR="0099325E">
        <w:t xml:space="preserve"> </w:t>
      </w:r>
      <w:r w:rsidR="0099325E">
        <w:sym w:font="Symbol" w:char="F0B4"/>
      </w:r>
      <w:r w:rsidRPr="00170228">
        <w:t>·10</w:t>
      </w:r>
      <w:r w:rsidRPr="00170228">
        <w:rPr>
          <w:vertAlign w:val="superscript"/>
        </w:rPr>
        <w:t>10</w:t>
      </w:r>
      <w:r w:rsidRPr="00170228">
        <w:t xml:space="preserve"> molecules cm</w:t>
      </w:r>
      <w:r w:rsidRPr="00170228">
        <w:rPr>
          <w:vertAlign w:val="superscript"/>
        </w:rPr>
        <w:t>-3</w:t>
      </w:r>
      <w:r w:rsidRPr="00170228">
        <w:t xml:space="preserve"> at 760 mm Hg pressure and 25°C multiplied by the number of carbon atoms in the molecule.</w:t>
      </w:r>
    </w:p>
    <w:p w14:paraId="1E185A46" w14:textId="77777777" w:rsidR="00735183" w:rsidRPr="00170228" w:rsidRDefault="00735183" w:rsidP="00735183">
      <w:pPr>
        <w:pStyle w:val="ListParagraph"/>
        <w:numPr>
          <w:ilvl w:val="0"/>
          <w:numId w:val="4"/>
        </w:numPr>
        <w:spacing w:after="120"/>
        <w:contextualSpacing w:val="0"/>
      </w:pPr>
      <w:r w:rsidRPr="00170228">
        <w:rPr>
          <w:b/>
        </w:rPr>
        <w:t>Part per billion volume (</w:t>
      </w:r>
      <w:proofErr w:type="spellStart"/>
      <w:r w:rsidRPr="00170228">
        <w:rPr>
          <w:b/>
        </w:rPr>
        <w:t>ppbv</w:t>
      </w:r>
      <w:proofErr w:type="spellEnd"/>
      <w:r w:rsidRPr="00170228">
        <w:rPr>
          <w:b/>
        </w:rPr>
        <w:t>)</w:t>
      </w:r>
      <w:r w:rsidRPr="00170228">
        <w:t>:  Concentration unit of measurement equivalent to a mixing ratio of 10</w:t>
      </w:r>
      <w:r w:rsidRPr="00170228">
        <w:rPr>
          <w:vertAlign w:val="superscript"/>
        </w:rPr>
        <w:t>-9</w:t>
      </w:r>
      <w:r w:rsidRPr="00170228">
        <w:t xml:space="preserve"> L (or moles) of a trace gas in 1 L (or mole) of diluent.  One </w:t>
      </w:r>
      <w:proofErr w:type="spellStart"/>
      <w:r w:rsidRPr="00170228">
        <w:t>ppbv</w:t>
      </w:r>
      <w:proofErr w:type="spellEnd"/>
      <w:r w:rsidRPr="00170228">
        <w:t xml:space="preserve"> is equivalent to 2.46·</w:t>
      </w:r>
      <w:r w:rsidR="0099325E">
        <w:sym w:font="Symbol" w:char="F0B4"/>
      </w:r>
      <w:r w:rsidR="0099325E">
        <w:t xml:space="preserve"> </w:t>
      </w:r>
      <w:r w:rsidRPr="00170228">
        <w:t>10</w:t>
      </w:r>
      <w:r w:rsidRPr="00170228">
        <w:rPr>
          <w:vertAlign w:val="superscript"/>
        </w:rPr>
        <w:t>10</w:t>
      </w:r>
      <w:r w:rsidRPr="00170228">
        <w:t xml:space="preserve"> molecules cm</w:t>
      </w:r>
      <w:r w:rsidRPr="00170228">
        <w:rPr>
          <w:vertAlign w:val="superscript"/>
        </w:rPr>
        <w:t>-3</w:t>
      </w:r>
      <w:r w:rsidRPr="00170228">
        <w:t xml:space="preserve"> at 760 mm Hg pressure and 25°C.</w:t>
      </w:r>
    </w:p>
    <w:p w14:paraId="1065F831" w14:textId="6DBC5930" w:rsidR="006551BD" w:rsidRPr="006551BD" w:rsidRDefault="006551BD" w:rsidP="0099325E">
      <w:pPr>
        <w:pStyle w:val="ListParagraph"/>
        <w:numPr>
          <w:ilvl w:val="0"/>
          <w:numId w:val="4"/>
        </w:numPr>
        <w:spacing w:after="120"/>
        <w:contextualSpacing w:val="0"/>
      </w:pPr>
      <w:r w:rsidRPr="006551BD">
        <w:rPr>
          <w:b/>
          <w:bCs/>
        </w:rPr>
        <w:t>Particulate matter (PM)</w:t>
      </w:r>
      <w:r>
        <w:t xml:space="preserve">:  </w:t>
      </w:r>
      <w:r w:rsidRPr="006551BD">
        <w:t xml:space="preserve">a complex mixture of </w:t>
      </w:r>
      <w:r>
        <w:t>airborne</w:t>
      </w:r>
      <w:r w:rsidRPr="006551BD">
        <w:t xml:space="preserve"> small </w:t>
      </w:r>
      <w:r>
        <w:t xml:space="preserve">solid </w:t>
      </w:r>
      <w:r w:rsidRPr="006551BD">
        <w:t>particles and liquid droplets</w:t>
      </w:r>
      <w:r>
        <w:t>.</w:t>
      </w:r>
    </w:p>
    <w:p w14:paraId="274BE54E" w14:textId="67DC7AF5" w:rsidR="00735183" w:rsidRPr="00170228" w:rsidRDefault="00735183" w:rsidP="0099325E">
      <w:pPr>
        <w:pStyle w:val="ListParagraph"/>
        <w:numPr>
          <w:ilvl w:val="0"/>
          <w:numId w:val="4"/>
        </w:numPr>
        <w:spacing w:after="120"/>
        <w:contextualSpacing w:val="0"/>
      </w:pPr>
      <w:r w:rsidRPr="005F0F36">
        <w:rPr>
          <w:b/>
        </w:rPr>
        <w:t>PFA:</w:t>
      </w:r>
      <w:r w:rsidRPr="00170228">
        <w:t xml:space="preserve">  </w:t>
      </w:r>
      <w:proofErr w:type="spellStart"/>
      <w:r w:rsidRPr="00170228">
        <w:t>perfluoralkoxy</w:t>
      </w:r>
      <w:proofErr w:type="spellEnd"/>
      <w:r>
        <w:t xml:space="preserve"> </w:t>
      </w:r>
      <w:r w:rsidR="0099325E" w:rsidRPr="0099325E">
        <w:t xml:space="preserve">copolymer resin </w:t>
      </w:r>
      <w:r>
        <w:t>(Teflon</w:t>
      </w:r>
      <w:r w:rsidRPr="005F0F36">
        <w:rPr>
          <w:vertAlign w:val="superscript"/>
        </w:rPr>
        <w:t>®</w:t>
      </w:r>
      <w:r>
        <w:t>)</w:t>
      </w:r>
    </w:p>
    <w:p w14:paraId="25A8ABD1" w14:textId="77777777" w:rsidR="00735183" w:rsidRPr="00170228" w:rsidRDefault="00735183" w:rsidP="00735183">
      <w:pPr>
        <w:pStyle w:val="ListParagraph"/>
        <w:numPr>
          <w:ilvl w:val="0"/>
          <w:numId w:val="4"/>
        </w:numPr>
        <w:spacing w:after="120"/>
        <w:contextualSpacing w:val="0"/>
      </w:pPr>
      <w:r w:rsidRPr="005F0F36">
        <w:rPr>
          <w:b/>
        </w:rPr>
        <w:t>PTFE:</w:t>
      </w:r>
      <w:r w:rsidRPr="00170228">
        <w:t xml:space="preserve">  polytetrafluoroethylene</w:t>
      </w:r>
      <w:r>
        <w:t xml:space="preserve"> (Teflon</w:t>
      </w:r>
      <w:r w:rsidRPr="005F0F36">
        <w:rPr>
          <w:vertAlign w:val="superscript"/>
        </w:rPr>
        <w:t>®</w:t>
      </w:r>
      <w:r>
        <w:t>)</w:t>
      </w:r>
    </w:p>
    <w:p w14:paraId="52D43988" w14:textId="77777777" w:rsidR="00735183" w:rsidRPr="00170228" w:rsidRDefault="00735183" w:rsidP="00735183">
      <w:pPr>
        <w:pStyle w:val="ListParagraph"/>
        <w:numPr>
          <w:ilvl w:val="0"/>
          <w:numId w:val="4"/>
        </w:numPr>
        <w:spacing w:after="120"/>
        <w:contextualSpacing w:val="0"/>
      </w:pPr>
      <w:r w:rsidRPr="005F0F36">
        <w:rPr>
          <w:b/>
        </w:rPr>
        <w:t>Pounds per square inch absolute (psia)</w:t>
      </w:r>
      <w:r>
        <w:t xml:space="preserve">:  </w:t>
      </w:r>
      <w:r w:rsidRPr="00170228">
        <w:t>unit of pressure</w:t>
      </w:r>
      <w:r>
        <w:t xml:space="preserve"> relative to absolute vacuum (0 psia)</w:t>
      </w:r>
    </w:p>
    <w:p w14:paraId="32AFF09F" w14:textId="0DF85D83" w:rsidR="00735183" w:rsidRPr="00170228" w:rsidRDefault="00735183" w:rsidP="00735183">
      <w:pPr>
        <w:pStyle w:val="ListParagraph"/>
        <w:numPr>
          <w:ilvl w:val="0"/>
          <w:numId w:val="4"/>
        </w:numPr>
        <w:spacing w:after="120"/>
        <w:contextualSpacing w:val="0"/>
      </w:pPr>
      <w:r>
        <w:rPr>
          <w:b/>
        </w:rPr>
        <w:t>Standard Temperature and P</w:t>
      </w:r>
      <w:r w:rsidRPr="00170228">
        <w:rPr>
          <w:b/>
        </w:rPr>
        <w:t>ressure (STP)</w:t>
      </w:r>
      <w:r w:rsidRPr="00170228">
        <w:t>:  25</w:t>
      </w:r>
      <w:r w:rsidR="00537E75">
        <w:t>°</w:t>
      </w:r>
      <w:r w:rsidRPr="00170228">
        <w:t>C and 760 mm Hg absolute pressure</w:t>
      </w:r>
    </w:p>
    <w:p w14:paraId="27B7C2CB" w14:textId="7F695E3C" w:rsidR="00890604" w:rsidRDefault="00735183" w:rsidP="00890604">
      <w:pPr>
        <w:pStyle w:val="ListParagraph"/>
        <w:numPr>
          <w:ilvl w:val="0"/>
          <w:numId w:val="4"/>
        </w:numPr>
        <w:spacing w:after="120"/>
        <w:contextualSpacing w:val="0"/>
      </w:pPr>
      <w:r w:rsidRPr="00776D98">
        <w:rPr>
          <w:b/>
        </w:rPr>
        <w:t>Zero Air:</w:t>
      </w:r>
      <w:r w:rsidRPr="00170228">
        <w:t xml:space="preserve">  Synthetic air that has been scrubbed of carbonyls</w:t>
      </w:r>
      <w:r>
        <w:t xml:space="preserve"> and water vapor</w:t>
      </w:r>
    </w:p>
    <w:p w14:paraId="4FB8B5D8" w14:textId="77777777" w:rsidR="00E675E1" w:rsidRPr="00AC72E8" w:rsidRDefault="00E80AA0" w:rsidP="0074182F">
      <w:pPr>
        <w:pStyle w:val="ListParagraph"/>
        <w:numPr>
          <w:ilvl w:val="0"/>
          <w:numId w:val="2"/>
        </w:numPr>
        <w:ind w:left="360"/>
        <w:rPr>
          <w:b/>
        </w:rPr>
      </w:pPr>
      <w:r w:rsidRPr="00AC72E8">
        <w:rPr>
          <w:b/>
        </w:rPr>
        <w:lastRenderedPageBreak/>
        <w:t>INTERFERENCES</w:t>
      </w:r>
      <w:r w:rsidR="00735183" w:rsidRPr="00AC72E8">
        <w:rPr>
          <w:b/>
        </w:rPr>
        <w:br/>
      </w:r>
    </w:p>
    <w:p w14:paraId="7C24FFF9" w14:textId="1E5D851C" w:rsidR="001F5D2C" w:rsidRDefault="00E675E1" w:rsidP="00735183">
      <w:pPr>
        <w:pStyle w:val="ListParagraph"/>
        <w:numPr>
          <w:ilvl w:val="1"/>
          <w:numId w:val="6"/>
        </w:numPr>
        <w:spacing w:after="120"/>
        <w:ind w:left="720"/>
        <w:contextualSpacing w:val="0"/>
      </w:pPr>
      <w:bookmarkStart w:id="3" w:name="_Hlk494313012"/>
      <w:r>
        <w:t xml:space="preserve">Temperature effects:  </w:t>
      </w:r>
      <w:r w:rsidR="00735183">
        <w:t xml:space="preserve">Carbonyl </w:t>
      </w:r>
      <w:proofErr w:type="spellStart"/>
      <w:r w:rsidR="00735183">
        <w:t>hydrazones</w:t>
      </w:r>
      <w:proofErr w:type="spellEnd"/>
      <w:r w:rsidR="00735183">
        <w:t xml:space="preserve"> degrade </w:t>
      </w:r>
      <w:r w:rsidR="00AC72E8">
        <w:t xml:space="preserve">more quickly </w:t>
      </w:r>
      <w:r w:rsidR="00735183">
        <w:t>at ambient temperatures</w:t>
      </w:r>
      <w:r w:rsidR="00AC72E8">
        <w:t xml:space="preserve"> than </w:t>
      </w:r>
      <w:r w:rsidR="00B879A9">
        <w:t xml:space="preserve">at </w:t>
      </w:r>
      <w:r w:rsidR="00AC72E8">
        <w:t>reduced (e.g. refrigerated) temperatures</w:t>
      </w:r>
      <w:r w:rsidR="00735183">
        <w:t xml:space="preserve">.  </w:t>
      </w:r>
      <w:r w:rsidR="00C51D48">
        <w:t xml:space="preserve">Care should be taken to ensure sampled cartridges are </w:t>
      </w:r>
      <w:r w:rsidR="00735183">
        <w:t>refrigerated to</w:t>
      </w:r>
      <w:r w:rsidR="00C51D48">
        <w:t xml:space="preserve"> ≤ 4</w:t>
      </w:r>
      <w:r w:rsidR="00340339">
        <w:t>°</w:t>
      </w:r>
      <w:r w:rsidR="00C51D48">
        <w:t xml:space="preserve">C as soon as possible after </w:t>
      </w:r>
      <w:r w:rsidR="00B879A9">
        <w:t xml:space="preserve">completion of </w:t>
      </w:r>
      <w:r w:rsidR="00C51D48">
        <w:t>collection.</w:t>
      </w:r>
    </w:p>
    <w:p w14:paraId="327CF1DD" w14:textId="09F11C11" w:rsidR="001F5D2C" w:rsidRDefault="00E56F8B" w:rsidP="00735183">
      <w:pPr>
        <w:pStyle w:val="ListParagraph"/>
        <w:numPr>
          <w:ilvl w:val="1"/>
          <w:numId w:val="6"/>
        </w:numPr>
        <w:spacing w:after="120"/>
        <w:ind w:left="720"/>
        <w:contextualSpacing w:val="0"/>
      </w:pPr>
      <w:r>
        <w:t xml:space="preserve">Ozone:  </w:t>
      </w:r>
      <w:r w:rsidR="00C51D48">
        <w:t xml:space="preserve">Ozone </w:t>
      </w:r>
      <w:r w:rsidR="0099325E">
        <w:t xml:space="preserve">that </w:t>
      </w:r>
      <w:r w:rsidR="00C51D48">
        <w:t>is not removed from the sampled air stream may react directly with the DNPH reagent thereby making the DNPH unavailable for derivatizing carbonyl compounds.  Ozone may also react with carbonyl-</w:t>
      </w:r>
      <w:proofErr w:type="spellStart"/>
      <w:r w:rsidR="00C51D48">
        <w:t>hydrazones</w:t>
      </w:r>
      <w:proofErr w:type="spellEnd"/>
      <w:r w:rsidR="00C51D48">
        <w:t xml:space="preserve"> on the sampled cartridge to degrade these compounds, leading to underestimation of </w:t>
      </w:r>
      <w:r w:rsidR="00B879A9">
        <w:t xml:space="preserve">sample </w:t>
      </w:r>
      <w:r w:rsidR="00C51D48">
        <w:t>carbonyl concentrations.  These degradation byproducts may also be difficult or impossible to separate chromatographically from desired target compounds, resulting in overestimation or false positive detection of target compounds.</w:t>
      </w:r>
    </w:p>
    <w:p w14:paraId="7E576F3E" w14:textId="53C63E17" w:rsidR="001F5D2C" w:rsidRDefault="00C51D48" w:rsidP="00735183">
      <w:pPr>
        <w:pStyle w:val="ListParagraph"/>
        <w:numPr>
          <w:ilvl w:val="1"/>
          <w:numId w:val="6"/>
        </w:numPr>
        <w:spacing w:after="120"/>
        <w:ind w:left="720"/>
        <w:contextualSpacing w:val="0"/>
      </w:pPr>
      <w:r>
        <w:t>Nitrogen dioxide:  Nitrogen dioxide (NO</w:t>
      </w:r>
      <w:r w:rsidRPr="00C433C4">
        <w:rPr>
          <w:vertAlign w:val="subscript"/>
        </w:rPr>
        <w:t>2</w:t>
      </w:r>
      <w:r>
        <w:t xml:space="preserve">) is known to react with DNPH to form </w:t>
      </w:r>
      <w:r w:rsidR="00AC72E8">
        <w:t>reaction products</w:t>
      </w:r>
      <w:r>
        <w:t xml:space="preserve">.  These </w:t>
      </w:r>
      <w:r w:rsidR="00AC72E8">
        <w:t>reaction products</w:t>
      </w:r>
      <w:r w:rsidR="00735183">
        <w:t xml:space="preserve"> absorb light at 360 nm</w:t>
      </w:r>
      <w:r>
        <w:t xml:space="preserve"> </w:t>
      </w:r>
      <w:r w:rsidR="00735183">
        <w:t xml:space="preserve">and </w:t>
      </w:r>
      <w:r>
        <w:t xml:space="preserve">may be difficult or impossible to separate chromatographically from desired target compounds, </w:t>
      </w:r>
      <w:r w:rsidR="00735183">
        <w:t xml:space="preserve">particularly </w:t>
      </w:r>
      <w:r w:rsidR="00B879A9">
        <w:t xml:space="preserve">the </w:t>
      </w:r>
      <w:r w:rsidR="00735183">
        <w:t>formaldehyde</w:t>
      </w:r>
      <w:r w:rsidR="00B879A9">
        <w:t>-</w:t>
      </w:r>
      <w:proofErr w:type="spellStart"/>
      <w:r w:rsidR="00B879A9">
        <w:t>hydrazone</w:t>
      </w:r>
      <w:proofErr w:type="spellEnd"/>
      <w:r w:rsidR="00735183">
        <w:t xml:space="preserve">, </w:t>
      </w:r>
      <w:r>
        <w:t xml:space="preserve">resulting in overestimation or false positive detection of </w:t>
      </w:r>
      <w:r w:rsidR="00B879A9">
        <w:t xml:space="preserve">sample </w:t>
      </w:r>
      <w:r>
        <w:t>target compounds.</w:t>
      </w:r>
      <w:r w:rsidR="00735183">
        <w:t xml:space="preserve">  </w:t>
      </w:r>
    </w:p>
    <w:p w14:paraId="7B53940F" w14:textId="2B334EA3" w:rsidR="00C51D48" w:rsidRDefault="00735183" w:rsidP="00735183">
      <w:pPr>
        <w:pStyle w:val="ListParagraph"/>
        <w:numPr>
          <w:ilvl w:val="1"/>
          <w:numId w:val="6"/>
        </w:numPr>
        <w:spacing w:after="120"/>
        <w:ind w:left="720"/>
        <w:contextualSpacing w:val="0"/>
      </w:pPr>
      <w:r>
        <w:t>P</w:t>
      </w:r>
      <w:r w:rsidR="00D62E55">
        <w:t xml:space="preserve">articulate build-up on </w:t>
      </w:r>
      <w:r>
        <w:t xml:space="preserve">particulate </w:t>
      </w:r>
      <w:r w:rsidR="00C51D48">
        <w:t xml:space="preserve">filters or inlet pathways:  Particulate matter </w:t>
      </w:r>
      <w:r w:rsidR="002111EF">
        <w:t>residues accumulated on particul</w:t>
      </w:r>
      <w:r w:rsidR="00C51D48">
        <w:t xml:space="preserve">ate filters and/or inlet pathways can behave as sorbents and adsorb target carbonyls, releasing them </w:t>
      </w:r>
      <w:r w:rsidR="00C430DB">
        <w:t>later</w:t>
      </w:r>
      <w:r w:rsidR="00C51D48">
        <w:t xml:space="preserve"> when the concentrations in the sampled air stream are lower.  Thus, these residues may impart a negative bias for </w:t>
      </w:r>
      <w:r>
        <w:t xml:space="preserve">sampled gas streams with </w:t>
      </w:r>
      <w:r w:rsidR="00C51D48">
        <w:t xml:space="preserve">higher concentrations and a positive bias for </w:t>
      </w:r>
      <w:r>
        <w:t xml:space="preserve">those with </w:t>
      </w:r>
      <w:r w:rsidR="00C51D48">
        <w:t>lower concentrations.</w:t>
      </w:r>
    </w:p>
    <w:p w14:paraId="5063EB13" w14:textId="2C857666" w:rsidR="00D816EB" w:rsidRDefault="00C51D48" w:rsidP="00735183">
      <w:pPr>
        <w:pStyle w:val="ListParagraph"/>
        <w:numPr>
          <w:ilvl w:val="1"/>
          <w:numId w:val="6"/>
        </w:numPr>
        <w:spacing w:after="120"/>
        <w:ind w:left="720"/>
        <w:contextualSpacing w:val="0"/>
      </w:pPr>
      <w:r>
        <w:t xml:space="preserve">Catalytic surfaces:  </w:t>
      </w:r>
      <w:r w:rsidR="00921026">
        <w:t xml:space="preserve">Materials such as copper tubing, brass fittings, or similar active metal materials in the sampling pathway serve as catalysts to degrade target carbonyls and result in underestimation of the measured target compound concentrations in ambient air.  </w:t>
      </w:r>
      <w:r>
        <w:t>Wetted surfaces in the sampling pathway must consist of chromatographic grade stainless steel, borosilicate glass, or PTFE or PFA Teflon</w:t>
      </w:r>
      <w:r w:rsidR="009B501A" w:rsidRPr="009B501A">
        <w:rPr>
          <w:vertAlign w:val="superscript"/>
        </w:rPr>
        <w:t>®</w:t>
      </w:r>
      <w:r>
        <w:t>.</w:t>
      </w:r>
      <w:r w:rsidR="00340339" w:rsidRPr="00340339">
        <w:rPr>
          <w:vertAlign w:val="superscript"/>
        </w:rPr>
        <w:t>3</w:t>
      </w:r>
      <w:r>
        <w:t xml:space="preserve"> </w:t>
      </w:r>
    </w:p>
    <w:p w14:paraId="243E19D6" w14:textId="6559F5DE" w:rsidR="00D816EB" w:rsidRPr="00D816EB" w:rsidRDefault="009B501A" w:rsidP="00735183">
      <w:pPr>
        <w:pStyle w:val="ListParagraph"/>
        <w:numPr>
          <w:ilvl w:val="1"/>
          <w:numId w:val="6"/>
        </w:numPr>
        <w:spacing w:after="120"/>
        <w:ind w:left="720"/>
        <w:contextualSpacing w:val="0"/>
      </w:pPr>
      <w:r>
        <w:t>Exposure to l</w:t>
      </w:r>
      <w:r w:rsidR="00D816EB" w:rsidRPr="00D816EB">
        <w:t xml:space="preserve">ight may cause degradation and loss of the DNPH-carbonyl derivatives; therefore, DNPH-coated cartridges </w:t>
      </w:r>
      <w:r>
        <w:t>should be protected from</w:t>
      </w:r>
      <w:r w:rsidR="00D816EB" w:rsidRPr="00D816EB">
        <w:t xml:space="preserve"> light.</w:t>
      </w:r>
      <w:r w:rsidR="00704E26">
        <w:t xml:space="preserve">  Cartridges should be sealed into the foil pouch as soon as possible after sample retrieval to minimize exposure to light.</w:t>
      </w:r>
      <w:r w:rsidR="0053431B">
        <w:t xml:space="preserve">  Exposure to direct sunlight should particularly be avoided.</w:t>
      </w:r>
    </w:p>
    <w:p w14:paraId="7D71E9BA" w14:textId="38E32400" w:rsidR="00E80AA0" w:rsidRDefault="00554BA4" w:rsidP="00735183">
      <w:pPr>
        <w:pStyle w:val="ListParagraph"/>
        <w:numPr>
          <w:ilvl w:val="1"/>
          <w:numId w:val="6"/>
        </w:numPr>
        <w:spacing w:after="120"/>
        <w:ind w:left="720"/>
        <w:contextualSpacing w:val="0"/>
      </w:pPr>
      <w:r>
        <w:t xml:space="preserve">Condensation of water in the inlet pathways can occur when warm humid sampled air is drawn into tubing within an </w:t>
      </w:r>
      <w:proofErr w:type="gramStart"/>
      <w:r>
        <w:t>air conditioned</w:t>
      </w:r>
      <w:proofErr w:type="gramEnd"/>
      <w:r>
        <w:t xml:space="preserve"> monitoring shelter.  Condensation </w:t>
      </w:r>
      <w:r w:rsidR="0053431B">
        <w:t xml:space="preserve">within the inlet flow path </w:t>
      </w:r>
      <w:r>
        <w:t>should be avoided and eliminat</w:t>
      </w:r>
      <w:r w:rsidR="0053431B">
        <w:t>ed, where possible, to minimize</w:t>
      </w:r>
      <w:r>
        <w:t xml:space="preserve"> the potential loss of carbonyls </w:t>
      </w:r>
      <w:r w:rsidR="0053431B">
        <w:t xml:space="preserve">to dissolution in the water.  </w:t>
      </w:r>
      <w:r>
        <w:t>Manifolds or sample line tubing within the monitoring shelter should be insulated and/or heated to eliminate condensation within the sampling lines.</w:t>
      </w:r>
      <w:bookmarkEnd w:id="3"/>
      <w:r w:rsidR="004B074A">
        <w:br/>
      </w:r>
    </w:p>
    <w:p w14:paraId="16206D3F" w14:textId="4743EFAB" w:rsidR="004B074A" w:rsidRPr="00AC72E8" w:rsidRDefault="00E80AA0" w:rsidP="00FC5FD3">
      <w:pPr>
        <w:pStyle w:val="ListParagraph"/>
        <w:numPr>
          <w:ilvl w:val="0"/>
          <w:numId w:val="2"/>
        </w:numPr>
        <w:ind w:left="360"/>
        <w:rPr>
          <w:b/>
        </w:rPr>
      </w:pPr>
      <w:r w:rsidRPr="00AC72E8">
        <w:rPr>
          <w:b/>
        </w:rPr>
        <w:lastRenderedPageBreak/>
        <w:t>SAFETY</w:t>
      </w:r>
    </w:p>
    <w:p w14:paraId="750BDA48" w14:textId="77777777" w:rsidR="004B074A" w:rsidRDefault="004B074A" w:rsidP="004B074A">
      <w:pPr>
        <w:pStyle w:val="ListParagraph"/>
      </w:pPr>
    </w:p>
    <w:p w14:paraId="62C1F889" w14:textId="2B8E7F3B" w:rsidR="00E80AA0" w:rsidRDefault="004B074A" w:rsidP="004B074A">
      <w:pPr>
        <w:pStyle w:val="ListParagraph"/>
      </w:pPr>
      <w:r>
        <w:t xml:space="preserve">Compressed </w:t>
      </w:r>
      <w:r w:rsidR="006551BD">
        <w:t>g</w:t>
      </w:r>
      <w:r>
        <w:t>ases</w:t>
      </w:r>
      <w:r w:rsidR="00D62E55">
        <w:t xml:space="preserve"> – Care should be taken to follow established safety practices when working with compressed gases.  </w:t>
      </w:r>
      <w:r w:rsidR="00D62E55">
        <w:br/>
      </w:r>
    </w:p>
    <w:p w14:paraId="46688DB0" w14:textId="0C2A6C6B" w:rsidR="004B074A" w:rsidRDefault="00CE745E" w:rsidP="004B074A">
      <w:pPr>
        <w:pStyle w:val="ListParagraph"/>
      </w:pPr>
      <w:r>
        <w:t xml:space="preserve">Instrument </w:t>
      </w:r>
      <w:r w:rsidR="006551BD">
        <w:t>m</w:t>
      </w:r>
      <w:r>
        <w:t>aintenance</w:t>
      </w:r>
      <w:r w:rsidR="006551BD">
        <w:t xml:space="preserve"> – </w:t>
      </w:r>
      <w:r w:rsidR="0074182F">
        <w:t>Instrument operators should take precaution when workin</w:t>
      </w:r>
      <w:r w:rsidR="00D62E55">
        <w:t>g within the instrument chassis as contact with exposed wires and electrical connections can result in electrical shock.</w:t>
      </w:r>
      <w:r>
        <w:t xml:space="preserve">  The ozone denuder is maintained at </w:t>
      </w:r>
      <w:r w:rsidR="009B501A">
        <w:t xml:space="preserve">≥ </w:t>
      </w:r>
      <w:r>
        <w:t>50°C</w:t>
      </w:r>
      <w:r w:rsidR="009B501A">
        <w:t>,</w:t>
      </w:r>
      <w:r>
        <w:t xml:space="preserve"> therefore contact with the denuder oven should be avoided.</w:t>
      </w:r>
    </w:p>
    <w:p w14:paraId="341084AF" w14:textId="77777777" w:rsidR="0074182F" w:rsidRDefault="0074182F" w:rsidP="004B074A">
      <w:pPr>
        <w:pStyle w:val="ListParagraph"/>
      </w:pPr>
    </w:p>
    <w:p w14:paraId="78BF0F0E" w14:textId="77777777" w:rsidR="004B074A" w:rsidRDefault="00CE745E" w:rsidP="004B074A">
      <w:pPr>
        <w:pStyle w:val="ListParagraph"/>
      </w:pPr>
      <w:r>
        <w:t>Glass manifolds – When cleaning, assembling, or installing glass manifolds, site operators should avoid use of excessive force</w:t>
      </w:r>
      <w:r w:rsidR="00921026">
        <w:t>,</w:t>
      </w:r>
      <w:r>
        <w:t xml:space="preserve"> which can break or shatter the glass tubing resulting in lacerations.</w:t>
      </w:r>
    </w:p>
    <w:p w14:paraId="54B171FD" w14:textId="77777777" w:rsidR="004B074A" w:rsidRDefault="004B074A" w:rsidP="00AC72E8"/>
    <w:p w14:paraId="366ED1F3" w14:textId="77777777" w:rsidR="004B074A" w:rsidRPr="00AC72E8" w:rsidRDefault="00E80AA0" w:rsidP="00FC5FD3">
      <w:pPr>
        <w:pStyle w:val="ListParagraph"/>
        <w:numPr>
          <w:ilvl w:val="0"/>
          <w:numId w:val="2"/>
        </w:numPr>
        <w:ind w:left="360"/>
        <w:rPr>
          <w:b/>
        </w:rPr>
      </w:pPr>
      <w:r w:rsidRPr="00AC72E8">
        <w:rPr>
          <w:b/>
        </w:rPr>
        <w:t>APPARATUS AND MATERIALS</w:t>
      </w:r>
      <w:r w:rsidR="00CE745E" w:rsidRPr="00AC72E8">
        <w:rPr>
          <w:b/>
        </w:rPr>
        <w:br/>
      </w:r>
    </w:p>
    <w:bookmarkEnd w:id="0"/>
    <w:p w14:paraId="5479255A" w14:textId="5BAF16F5" w:rsidR="00AC72E8" w:rsidRDefault="00AF6540" w:rsidP="002F0EC1">
      <w:pPr>
        <w:pStyle w:val="ListParagraph"/>
        <w:numPr>
          <w:ilvl w:val="1"/>
          <w:numId w:val="7"/>
        </w:numPr>
        <w:spacing w:after="120"/>
        <w:ind w:left="720"/>
        <w:contextualSpacing w:val="0"/>
      </w:pPr>
      <w:r>
        <w:t>Sequential Carbonyl</w:t>
      </w:r>
      <w:r w:rsidR="009B501A">
        <w:t>s</w:t>
      </w:r>
      <w:r>
        <w:t xml:space="preserve"> Sampling Unit</w:t>
      </w:r>
    </w:p>
    <w:p w14:paraId="469AD1E0" w14:textId="171D972C" w:rsidR="00AF6540" w:rsidRDefault="00971BFC" w:rsidP="00C430DB">
      <w:pPr>
        <w:pStyle w:val="ListParagraph"/>
        <w:spacing w:after="120"/>
        <w:contextualSpacing w:val="0"/>
      </w:pPr>
      <w:r>
        <w:t xml:space="preserve">Both sampling units </w:t>
      </w:r>
      <w:r w:rsidR="009B501A">
        <w:t xml:space="preserve">listed below </w:t>
      </w:r>
      <w:r w:rsidR="00FC12BF">
        <w:t xml:space="preserve">facilitate collection of three sequential samples and </w:t>
      </w:r>
      <w:r>
        <w:t>record s</w:t>
      </w:r>
      <w:r w:rsidRPr="00971BFC">
        <w:t xml:space="preserve">ampling date, start time, stop time, average flowrate, minimum flowrate, maximum flowrate, total volume sampled, </w:t>
      </w:r>
      <w:r w:rsidR="00AC72E8">
        <w:t xml:space="preserve">and </w:t>
      </w:r>
      <w:r w:rsidRPr="00971BFC">
        <w:t>sampling time durat</w:t>
      </w:r>
      <w:r w:rsidR="00AC72E8">
        <w:t>ion</w:t>
      </w:r>
      <w:r w:rsidR="009B501A">
        <w:t xml:space="preserve"> for each sample channel</w:t>
      </w:r>
      <w:r w:rsidR="00AC72E8">
        <w:t xml:space="preserve">.  </w:t>
      </w:r>
    </w:p>
    <w:p w14:paraId="3C725298" w14:textId="72B24DDD" w:rsidR="00D816EB" w:rsidRDefault="00D816EB" w:rsidP="00CE745E">
      <w:pPr>
        <w:pStyle w:val="ListParagraph"/>
        <w:numPr>
          <w:ilvl w:val="2"/>
          <w:numId w:val="2"/>
        </w:numPr>
        <w:spacing w:after="120"/>
        <w:ind w:left="1440"/>
        <w:contextualSpacing w:val="0"/>
      </w:pPr>
      <w:r>
        <w:t>ATEC 8000 sequential cartridge sampler</w:t>
      </w:r>
      <w:r w:rsidR="00A85FF1">
        <w:t xml:space="preserve"> (8 channels)</w:t>
      </w:r>
      <w:r w:rsidR="009B501A">
        <w:t xml:space="preserve"> – various configurations are available with </w:t>
      </w:r>
      <w:r w:rsidR="00FC12BF">
        <w:t xml:space="preserve">options for </w:t>
      </w:r>
      <w:r w:rsidR="009B501A">
        <w:t>duplicate sample channels</w:t>
      </w:r>
    </w:p>
    <w:p w14:paraId="08D7715B" w14:textId="77777777" w:rsidR="00D816EB" w:rsidRDefault="00D816EB" w:rsidP="00CE745E">
      <w:pPr>
        <w:pStyle w:val="ListParagraph"/>
        <w:numPr>
          <w:ilvl w:val="2"/>
          <w:numId w:val="2"/>
        </w:numPr>
        <w:spacing w:after="120"/>
        <w:ind w:left="1440"/>
        <w:contextualSpacing w:val="0"/>
      </w:pPr>
      <w:r>
        <w:t>Tisch TE-423 sequential cartridge sampler</w:t>
      </w:r>
      <w:r w:rsidR="00A85FF1">
        <w:t xml:space="preserve"> (3 channels)</w:t>
      </w:r>
    </w:p>
    <w:p w14:paraId="4C246542" w14:textId="77777777" w:rsidR="00D816EB" w:rsidRDefault="00D816EB" w:rsidP="002F0EC1">
      <w:pPr>
        <w:pStyle w:val="ListParagraph"/>
        <w:numPr>
          <w:ilvl w:val="1"/>
          <w:numId w:val="2"/>
        </w:numPr>
        <w:spacing w:after="120"/>
        <w:ind w:left="720"/>
        <w:contextualSpacing w:val="0"/>
      </w:pPr>
      <w:r>
        <w:t>DNPH-impregnated silica gel cartridge media</w:t>
      </w:r>
    </w:p>
    <w:p w14:paraId="2B4D6D78" w14:textId="16D1F22A" w:rsidR="00D816EB" w:rsidRDefault="00D816EB" w:rsidP="00A85FF1">
      <w:pPr>
        <w:pStyle w:val="ListParagraph"/>
        <w:numPr>
          <w:ilvl w:val="2"/>
          <w:numId w:val="2"/>
        </w:numPr>
        <w:spacing w:after="120"/>
        <w:ind w:left="1454" w:hanging="187"/>
        <w:contextualSpacing w:val="0"/>
      </w:pPr>
      <w:r w:rsidRPr="00D816EB">
        <w:t xml:space="preserve">Supelco </w:t>
      </w:r>
      <w:proofErr w:type="spellStart"/>
      <w:r w:rsidRPr="00D816EB">
        <w:t>LnDNPH</w:t>
      </w:r>
      <w:proofErr w:type="spellEnd"/>
      <w:r w:rsidRPr="00D816EB">
        <w:t xml:space="preserve"> S10 cartridges, </w:t>
      </w:r>
      <w:r w:rsidR="00AA054F">
        <w:t>1 mg DNPH/cartridge, 150-250 µm particle size</w:t>
      </w:r>
      <w:r w:rsidRPr="00D816EB">
        <w:t>, or equivalent</w:t>
      </w:r>
      <w:r w:rsidR="00AA054F">
        <w:t>, catalog number 21026-U</w:t>
      </w:r>
      <w:r w:rsidR="00AF6540">
        <w:t>;</w:t>
      </w:r>
      <w:r w:rsidR="00340339">
        <w:t xml:space="preserve"> </w:t>
      </w:r>
      <w:r w:rsidR="00340339" w:rsidRPr="00340339">
        <w:rPr>
          <w:vertAlign w:val="superscript"/>
        </w:rPr>
        <w:t>4</w:t>
      </w:r>
      <w:r w:rsidR="00AF6540">
        <w:t xml:space="preserve"> or</w:t>
      </w:r>
    </w:p>
    <w:p w14:paraId="546D5BED" w14:textId="4AA0D32B" w:rsidR="00D816EB" w:rsidRDefault="00D816EB" w:rsidP="00CE745E">
      <w:pPr>
        <w:pStyle w:val="ListParagraph"/>
        <w:numPr>
          <w:ilvl w:val="2"/>
          <w:numId w:val="2"/>
        </w:numPr>
        <w:spacing w:after="120"/>
        <w:ind w:left="1440"/>
        <w:contextualSpacing w:val="0"/>
      </w:pPr>
      <w:r>
        <w:t xml:space="preserve">Waters </w:t>
      </w:r>
      <w:r w:rsidR="00AA054F">
        <w:t xml:space="preserve">Sep-Pak </w:t>
      </w:r>
      <w:r>
        <w:t xml:space="preserve">cartridges, </w:t>
      </w:r>
      <w:r w:rsidR="00AA054F">
        <w:t>350 mg sorbent per cartridge, 55-105 µm particle size, part number WAT037500</w:t>
      </w:r>
      <w:r w:rsidR="00340339">
        <w:t xml:space="preserve"> </w:t>
      </w:r>
      <w:r w:rsidR="00340339" w:rsidRPr="00340339">
        <w:rPr>
          <w:vertAlign w:val="superscript"/>
        </w:rPr>
        <w:t>5</w:t>
      </w:r>
    </w:p>
    <w:p w14:paraId="026C69F2" w14:textId="73ADF04D" w:rsidR="00554BA4" w:rsidRDefault="00554BA4" w:rsidP="002F0EC1">
      <w:pPr>
        <w:pStyle w:val="ListParagraph"/>
        <w:numPr>
          <w:ilvl w:val="1"/>
          <w:numId w:val="2"/>
        </w:numPr>
        <w:spacing w:after="120"/>
        <w:ind w:left="720"/>
        <w:contextualSpacing w:val="0"/>
      </w:pPr>
      <w:r>
        <w:t>NIST-traceable certified flow transfer standard – capable of accurately measuring flows from approximate</w:t>
      </w:r>
      <w:r w:rsidR="00FC12BF">
        <w:t>ly</w:t>
      </w:r>
      <w:r>
        <w:t xml:space="preserve"> 0.5 to 1.5 standard L/min</w:t>
      </w:r>
      <w:r w:rsidR="009B501A">
        <w:t xml:space="preserve"> with accuracy to within ± 1%</w:t>
      </w:r>
    </w:p>
    <w:p w14:paraId="14290A09" w14:textId="485A8939" w:rsidR="000B2054" w:rsidRDefault="00AF6540" w:rsidP="002F0EC1">
      <w:pPr>
        <w:pStyle w:val="ListParagraph"/>
        <w:numPr>
          <w:ilvl w:val="1"/>
          <w:numId w:val="2"/>
        </w:numPr>
        <w:spacing w:after="120"/>
        <w:ind w:left="720"/>
        <w:contextualSpacing w:val="0"/>
      </w:pPr>
      <w:r>
        <w:t xml:space="preserve">USB drive </w:t>
      </w:r>
      <w:r w:rsidR="009B501A">
        <w:t xml:space="preserve">(e.g., jump drive or thumb drive) </w:t>
      </w:r>
      <w:r>
        <w:t xml:space="preserve">with </w:t>
      </w:r>
      <w:proofErr w:type="gramStart"/>
      <w:r>
        <w:t>sufficient</w:t>
      </w:r>
      <w:proofErr w:type="gramEnd"/>
      <w:r>
        <w:t xml:space="preserve"> capacity to download sample collection data from the sampling unit (</w:t>
      </w:r>
      <w:r w:rsidR="00A85FF1">
        <w:t>only applicable to the ATEC 8000</w:t>
      </w:r>
      <w:r w:rsidR="00310636">
        <w:t>-series</w:t>
      </w:r>
      <w:r w:rsidR="00A85FF1">
        <w:t xml:space="preserve"> sampling unit</w:t>
      </w:r>
      <w:r>
        <w:t>)</w:t>
      </w:r>
    </w:p>
    <w:p w14:paraId="0572B9B1" w14:textId="2D0EFBA3" w:rsidR="004B074A" w:rsidRDefault="000B2054" w:rsidP="002F0EC1">
      <w:pPr>
        <w:pStyle w:val="ListParagraph"/>
        <w:numPr>
          <w:ilvl w:val="1"/>
          <w:numId w:val="2"/>
        </w:numPr>
        <w:spacing w:after="120"/>
        <w:ind w:left="720"/>
        <w:contextualSpacing w:val="0"/>
      </w:pPr>
      <w:r>
        <w:t>PTFE or PFA Teflon</w:t>
      </w:r>
      <w:r w:rsidR="009B501A" w:rsidRPr="009B501A">
        <w:rPr>
          <w:vertAlign w:val="superscript"/>
        </w:rPr>
        <w:t>®</w:t>
      </w:r>
      <w:r>
        <w:t xml:space="preserve"> tubing –</w:t>
      </w:r>
      <w:r w:rsidR="006551BD">
        <w:t xml:space="preserve"> </w:t>
      </w:r>
      <w:r>
        <w:t>¼</w:t>
      </w:r>
      <w:r w:rsidR="0060239F">
        <w:t>″</w:t>
      </w:r>
      <w:r>
        <w:t xml:space="preserve"> </w:t>
      </w:r>
      <w:r w:rsidR="006551BD">
        <w:t>out</w:t>
      </w:r>
      <w:r>
        <w:t>er diameter (</w:t>
      </w:r>
      <w:r w:rsidR="006551BD">
        <w:t>O</w:t>
      </w:r>
      <w:r>
        <w:t>D)</w:t>
      </w:r>
    </w:p>
    <w:p w14:paraId="32D8589C" w14:textId="07CEA10F" w:rsidR="006551BD" w:rsidRDefault="006551BD" w:rsidP="002F0EC1">
      <w:pPr>
        <w:pStyle w:val="ListParagraph"/>
        <w:numPr>
          <w:ilvl w:val="1"/>
          <w:numId w:val="2"/>
        </w:numPr>
        <w:spacing w:after="120"/>
        <w:ind w:left="720"/>
        <w:contextualSpacing w:val="0"/>
      </w:pPr>
      <w:r>
        <w:t>Cooler and freezer packs</w:t>
      </w:r>
      <w:r w:rsidR="00310636">
        <w:t xml:space="preserve"> for transport of cartridge media</w:t>
      </w:r>
    </w:p>
    <w:p w14:paraId="1D057F36" w14:textId="114C787A" w:rsidR="002F0EC1" w:rsidRDefault="002F0EC1" w:rsidP="002F0EC1">
      <w:pPr>
        <w:pStyle w:val="ListParagraph"/>
        <w:numPr>
          <w:ilvl w:val="1"/>
          <w:numId w:val="2"/>
        </w:numPr>
        <w:ind w:left="720"/>
        <w:contextualSpacing w:val="0"/>
      </w:pPr>
      <w:r>
        <w:t>Powder-free nitrile or equivalent gloves for handling cartridge media</w:t>
      </w:r>
    </w:p>
    <w:p w14:paraId="61C2EA21" w14:textId="089F6014" w:rsidR="00A85FF1" w:rsidRDefault="00FC12BF" w:rsidP="00FC12BF">
      <w:r>
        <w:br w:type="page"/>
      </w:r>
    </w:p>
    <w:p w14:paraId="4AFEA02C" w14:textId="77777777" w:rsidR="00D816EB" w:rsidRPr="00A85FF1" w:rsidRDefault="00E80AA0" w:rsidP="00FC5FD3">
      <w:pPr>
        <w:pStyle w:val="ListParagraph"/>
        <w:numPr>
          <w:ilvl w:val="0"/>
          <w:numId w:val="2"/>
        </w:numPr>
        <w:spacing w:after="120"/>
        <w:ind w:left="360"/>
        <w:rPr>
          <w:b/>
        </w:rPr>
      </w:pPr>
      <w:r w:rsidRPr="00A85FF1">
        <w:rPr>
          <w:b/>
        </w:rPr>
        <w:lastRenderedPageBreak/>
        <w:t>REAGENTS AND CHEMICALS</w:t>
      </w:r>
    </w:p>
    <w:p w14:paraId="2553975F" w14:textId="77777777" w:rsidR="00A85FF1" w:rsidRDefault="00A85FF1" w:rsidP="00A85FF1">
      <w:pPr>
        <w:pStyle w:val="ListParagraph"/>
        <w:spacing w:after="120"/>
      </w:pPr>
    </w:p>
    <w:p w14:paraId="12E2D3C2" w14:textId="136C53D2" w:rsidR="00C433C4" w:rsidRDefault="00C433C4" w:rsidP="002F0EC1">
      <w:pPr>
        <w:pStyle w:val="ListParagraph"/>
        <w:numPr>
          <w:ilvl w:val="0"/>
          <w:numId w:val="5"/>
        </w:numPr>
        <w:spacing w:after="120"/>
        <w:ind w:left="720"/>
        <w:contextualSpacing w:val="0"/>
      </w:pPr>
      <w:r>
        <w:t>Carbonyl-free air, which may be provided by:</w:t>
      </w:r>
    </w:p>
    <w:p w14:paraId="22E26E74" w14:textId="3283D17E" w:rsidR="00C433C4" w:rsidRDefault="00C433C4" w:rsidP="00A85FF1">
      <w:pPr>
        <w:pStyle w:val="ListParagraph"/>
        <w:numPr>
          <w:ilvl w:val="2"/>
          <w:numId w:val="2"/>
        </w:numPr>
        <w:spacing w:after="120"/>
        <w:ind w:left="1530"/>
        <w:contextualSpacing w:val="0"/>
      </w:pPr>
      <w:r>
        <w:t xml:space="preserve">Zero </w:t>
      </w:r>
      <w:r w:rsidR="009B501A">
        <w:t>a</w:t>
      </w:r>
      <w:r>
        <w:t xml:space="preserve">ir </w:t>
      </w:r>
      <w:r w:rsidR="009B501A">
        <w:t>g</w:t>
      </w:r>
      <w:r>
        <w:t>enerator</w:t>
      </w:r>
      <w:r w:rsidR="00FC12BF">
        <w:t xml:space="preserve"> (&lt; 0.01 ppm total hydrocarbons)</w:t>
      </w:r>
    </w:p>
    <w:p w14:paraId="63B41BB9" w14:textId="13003A51" w:rsidR="00C433C4" w:rsidRDefault="00C433C4" w:rsidP="00A85FF1">
      <w:pPr>
        <w:pStyle w:val="ListParagraph"/>
        <w:numPr>
          <w:ilvl w:val="2"/>
          <w:numId w:val="2"/>
        </w:numPr>
        <w:spacing w:after="120"/>
        <w:ind w:left="1530"/>
        <w:contextualSpacing w:val="0"/>
      </w:pPr>
      <w:r>
        <w:t xml:space="preserve">Compressed </w:t>
      </w:r>
      <w:r w:rsidR="009B501A">
        <w:t>c</w:t>
      </w:r>
      <w:r>
        <w:t xml:space="preserve">ylinder of </w:t>
      </w:r>
      <w:r w:rsidR="009B501A">
        <w:t>z</w:t>
      </w:r>
      <w:r>
        <w:t xml:space="preserve">ero </w:t>
      </w:r>
      <w:r w:rsidR="009B501A">
        <w:t>a</w:t>
      </w:r>
      <w:r>
        <w:t>ir</w:t>
      </w:r>
      <w:r w:rsidR="00FC12BF">
        <w:t xml:space="preserve"> (&lt; 0.01 ppm total hydrocarbons)</w:t>
      </w:r>
    </w:p>
    <w:p w14:paraId="0F988245" w14:textId="77777777" w:rsidR="00C433C4" w:rsidRDefault="00C433C4" w:rsidP="00A85FF1">
      <w:pPr>
        <w:pStyle w:val="ListParagraph"/>
        <w:numPr>
          <w:ilvl w:val="2"/>
          <w:numId w:val="2"/>
        </w:numPr>
        <w:spacing w:after="120"/>
        <w:ind w:left="1530"/>
        <w:contextualSpacing w:val="0"/>
      </w:pPr>
      <w:r>
        <w:t xml:space="preserve">Air </w:t>
      </w:r>
      <w:r w:rsidR="00CE745E">
        <w:t xml:space="preserve">stream </w:t>
      </w:r>
      <w:r>
        <w:t>scrubbed of carbonyls with a fresh DNPH cartridge</w:t>
      </w:r>
    </w:p>
    <w:p w14:paraId="6044CCCF" w14:textId="4D720368" w:rsidR="004B074A" w:rsidRDefault="00A85FF1" w:rsidP="002F0EC1">
      <w:pPr>
        <w:pStyle w:val="ListParagraph"/>
        <w:numPr>
          <w:ilvl w:val="1"/>
          <w:numId w:val="2"/>
        </w:numPr>
        <w:spacing w:after="120"/>
        <w:ind w:left="720"/>
        <w:contextualSpacing w:val="0"/>
      </w:pPr>
      <w:r>
        <w:t xml:space="preserve">Deionized water – ASTM Type II or equivalent – used to clean the </w:t>
      </w:r>
      <w:r w:rsidR="00527F99">
        <w:t xml:space="preserve">sampling inlet </w:t>
      </w:r>
      <w:r w:rsidR="00FC12BF">
        <w:t>flow path surfaces</w:t>
      </w:r>
      <w:r w:rsidR="0089490E">
        <w:br/>
      </w:r>
    </w:p>
    <w:p w14:paraId="32164148" w14:textId="4D4C1A5F" w:rsidR="0084631F" w:rsidRPr="00527F99" w:rsidRDefault="00E80AA0" w:rsidP="00FC5FD3">
      <w:pPr>
        <w:pStyle w:val="ListParagraph"/>
        <w:numPr>
          <w:ilvl w:val="0"/>
          <w:numId w:val="2"/>
        </w:numPr>
        <w:ind w:left="360"/>
        <w:rPr>
          <w:b/>
        </w:rPr>
      </w:pPr>
      <w:r w:rsidRPr="00527F99">
        <w:rPr>
          <w:b/>
        </w:rPr>
        <w:t>SAMPL</w:t>
      </w:r>
      <w:r w:rsidR="00035F82">
        <w:rPr>
          <w:b/>
        </w:rPr>
        <w:t>ING INLET</w:t>
      </w:r>
      <w:r w:rsidRPr="00527F99">
        <w:rPr>
          <w:b/>
        </w:rPr>
        <w:t xml:space="preserve"> AND </w:t>
      </w:r>
      <w:r w:rsidR="00544A11">
        <w:rPr>
          <w:b/>
        </w:rPr>
        <w:t xml:space="preserve">CARTRIDGE </w:t>
      </w:r>
      <w:r w:rsidRPr="00527F99">
        <w:rPr>
          <w:b/>
        </w:rPr>
        <w:t>HANDLING</w:t>
      </w:r>
      <w:r w:rsidR="0084631F" w:rsidRPr="00527F99">
        <w:rPr>
          <w:b/>
        </w:rPr>
        <w:br/>
      </w:r>
    </w:p>
    <w:p w14:paraId="1AD33D07" w14:textId="77777777" w:rsidR="00971BFC" w:rsidRDefault="0084631F" w:rsidP="002F0EC1">
      <w:pPr>
        <w:pStyle w:val="ListParagraph"/>
        <w:numPr>
          <w:ilvl w:val="1"/>
          <w:numId w:val="2"/>
        </w:numPr>
        <w:ind w:left="720"/>
      </w:pPr>
      <w:r>
        <w:t>Sampling Inlet Probe</w:t>
      </w:r>
    </w:p>
    <w:p w14:paraId="34D8EF2A" w14:textId="77777777" w:rsidR="00971BFC" w:rsidRDefault="00971BFC" w:rsidP="002F0EC1">
      <w:pPr>
        <w:pStyle w:val="ListParagraph"/>
      </w:pPr>
    </w:p>
    <w:p w14:paraId="015BEBE3" w14:textId="2E3D64EF" w:rsidR="00971BFC" w:rsidRDefault="000B2054" w:rsidP="002F0EC1">
      <w:pPr>
        <w:pStyle w:val="ListParagraph"/>
      </w:pPr>
      <w:r>
        <w:t xml:space="preserve">The </w:t>
      </w:r>
      <w:r w:rsidR="00FC12BF">
        <w:t xml:space="preserve">sampling </w:t>
      </w:r>
      <w:r>
        <w:t>inlet probe</w:t>
      </w:r>
      <w:r w:rsidR="0089490E">
        <w:t xml:space="preserve"> must be constructed of </w:t>
      </w:r>
      <w:r>
        <w:t>borosilicate glass, chromatographic grade stainless steel, or PTFE or PFA Teflon</w:t>
      </w:r>
      <w:r w:rsidR="0084631F" w:rsidRPr="0084631F">
        <w:rPr>
          <w:vertAlign w:val="superscript"/>
        </w:rPr>
        <w:t>®</w:t>
      </w:r>
      <w:r>
        <w:t xml:space="preserve">.  </w:t>
      </w:r>
      <w:r w:rsidR="00CE3A32">
        <w:t>The sampling inlet line can be extended to the exterior of the monitoring shelter or can be connected to an inlet manifold</w:t>
      </w:r>
      <w:r w:rsidR="00FC12BF">
        <w:t xml:space="preserve"> with a probe to the ambient atmosphere</w:t>
      </w:r>
      <w:r w:rsidR="00CE3A32">
        <w:t>.  Consideration must be given to the length of the sampling inlet line to ensure that the residence time is kept to 20 seconds or less.</w:t>
      </w:r>
      <w:r w:rsidR="00340339" w:rsidRPr="00340339">
        <w:rPr>
          <w:vertAlign w:val="superscript"/>
        </w:rPr>
        <w:t>3</w:t>
      </w:r>
      <w:r w:rsidR="000920BE">
        <w:t xml:space="preserve">  Consideration should also be given to minimize intrusion of </w:t>
      </w:r>
      <w:r w:rsidR="009B501A">
        <w:t>particulate matter (</w:t>
      </w:r>
      <w:r w:rsidR="000920BE">
        <w:t>PM</w:t>
      </w:r>
      <w:r w:rsidR="009B501A">
        <w:t>)</w:t>
      </w:r>
      <w:r w:rsidR="000920BE">
        <w:t xml:space="preserve"> and water int</w:t>
      </w:r>
      <w:r w:rsidR="00A73280">
        <w:t>o the sampling line</w:t>
      </w:r>
      <w:r w:rsidR="0060239F">
        <w:t>,</w:t>
      </w:r>
      <w:r w:rsidR="00A73280">
        <w:t xml:space="preserve"> which can effectively be reduced by inverting the inlet and installing a rain shield (such as inverted funnel) on the inlet probe.  For connections to an inlet manifold, the </w:t>
      </w:r>
      <w:r w:rsidR="009349A7">
        <w:t>sampling unit</w:t>
      </w:r>
      <w:r w:rsidR="009B501A">
        <w:t xml:space="preserve"> inlet</w:t>
      </w:r>
      <w:r w:rsidR="00A73280">
        <w:t xml:space="preserve"> can be connected to any port</w:t>
      </w:r>
      <w:r w:rsidR="009B501A">
        <w:t xml:space="preserve"> on the manifold</w:t>
      </w:r>
      <w:r w:rsidR="00A73280">
        <w:t>.</w:t>
      </w:r>
      <w:r w:rsidR="009B501A">
        <w:t xml:space="preserve">  Connections must be leak-free to ensure that sampled air is from the ambient atmosphere entering the inlet probe.</w:t>
      </w:r>
    </w:p>
    <w:p w14:paraId="3E751DD6" w14:textId="77777777" w:rsidR="00971BFC" w:rsidRDefault="00971BFC" w:rsidP="00971BFC">
      <w:pPr>
        <w:pStyle w:val="ListParagraph"/>
      </w:pPr>
    </w:p>
    <w:p w14:paraId="2E066154" w14:textId="77777777" w:rsidR="00971BFC" w:rsidRDefault="00971BFC" w:rsidP="002F0EC1">
      <w:pPr>
        <w:pStyle w:val="ListParagraph"/>
        <w:numPr>
          <w:ilvl w:val="0"/>
          <w:numId w:val="5"/>
        </w:numPr>
        <w:ind w:left="720"/>
      </w:pPr>
      <w:r>
        <w:t>Sample Cartridge Handling</w:t>
      </w:r>
    </w:p>
    <w:p w14:paraId="45D09680" w14:textId="77777777" w:rsidR="00971BFC" w:rsidRDefault="00971BFC" w:rsidP="002F0EC1">
      <w:pPr>
        <w:pStyle w:val="ListParagraph"/>
      </w:pPr>
    </w:p>
    <w:p w14:paraId="6E2A952C" w14:textId="75B1B1C3" w:rsidR="00971BFC" w:rsidRDefault="00971BFC" w:rsidP="002F0EC1">
      <w:pPr>
        <w:pStyle w:val="ListParagraph"/>
      </w:pPr>
      <w:r>
        <w:t xml:space="preserve">New cartridges are to be stored refrigerated at ≤ 4°C upon receipt.  </w:t>
      </w:r>
      <w:r w:rsidR="00DF6E75">
        <w:t xml:space="preserve">New </w:t>
      </w:r>
      <w:r>
        <w:t>Waters cartridges are typically shipp</w:t>
      </w:r>
      <w:r w:rsidR="00DF6E75">
        <w:t xml:space="preserve">ed </w:t>
      </w:r>
      <w:r w:rsidR="00FC12BF">
        <w:t xml:space="preserve">from the vendor </w:t>
      </w:r>
      <w:r w:rsidR="00DF6E75">
        <w:t>at ambient temperature and Su</w:t>
      </w:r>
      <w:r>
        <w:t xml:space="preserve">pelco cartridges are typically shipped </w:t>
      </w:r>
      <w:r w:rsidR="00FC12BF">
        <w:t xml:space="preserve">from the vendor </w:t>
      </w:r>
      <w:r w:rsidR="0084631F">
        <w:t xml:space="preserve">at </w:t>
      </w:r>
      <w:r>
        <w:t>refrigerated</w:t>
      </w:r>
      <w:r w:rsidR="0084631F">
        <w:t xml:space="preserve"> temperatures</w:t>
      </w:r>
      <w:r>
        <w:t xml:space="preserve">.  </w:t>
      </w:r>
      <w:r w:rsidR="0084631F">
        <w:t xml:space="preserve">Cartridges are typically provided individually sealed in a foil pouch.  </w:t>
      </w:r>
      <w:r w:rsidR="004C6553">
        <w:t xml:space="preserve">To maintain cartridge integrity, the sealed foil </w:t>
      </w:r>
      <w:r w:rsidR="008105CF">
        <w:t xml:space="preserve">cartridge storage </w:t>
      </w:r>
      <w:r w:rsidR="004C6553">
        <w:t>pouch should not be opened until the cartridge is to be used in the field.</w:t>
      </w:r>
      <w:r w:rsidR="00FE6968">
        <w:t xml:space="preserve"> </w:t>
      </w:r>
      <w:r w:rsidR="002B66AB">
        <w:br/>
      </w:r>
    </w:p>
    <w:p w14:paraId="72A9AFAB" w14:textId="77777777" w:rsidR="00971BFC" w:rsidRDefault="008105CF" w:rsidP="00FE6968">
      <w:pPr>
        <w:pStyle w:val="ListParagraph"/>
        <w:numPr>
          <w:ilvl w:val="2"/>
          <w:numId w:val="2"/>
        </w:numPr>
        <w:spacing w:after="120"/>
        <w:ind w:left="1620" w:hanging="187"/>
        <w:contextualSpacing w:val="0"/>
      </w:pPr>
      <w:r>
        <w:t>Cartridges should only be handled with gloved hands (chemicals from hand sanitizers, lotions, etc., can contaminate sample cartridges).</w:t>
      </w:r>
    </w:p>
    <w:p w14:paraId="72C52888" w14:textId="77777777" w:rsidR="008105CF" w:rsidRDefault="008105CF" w:rsidP="00FE6968">
      <w:pPr>
        <w:pStyle w:val="ListParagraph"/>
        <w:numPr>
          <w:ilvl w:val="2"/>
          <w:numId w:val="2"/>
        </w:numPr>
        <w:spacing w:after="120"/>
        <w:ind w:left="1620" w:hanging="187"/>
        <w:contextualSpacing w:val="0"/>
      </w:pPr>
      <w:r>
        <w:t>Markers containing volatile solvents (e.g. permanent markers such as Sharpie</w:t>
      </w:r>
      <w:r w:rsidRPr="0084631F">
        <w:rPr>
          <w:vertAlign w:val="superscript"/>
        </w:rPr>
        <w:t>®</w:t>
      </w:r>
      <w:r>
        <w:t>) should be avoided for marking on foil storage pouches.</w:t>
      </w:r>
    </w:p>
    <w:p w14:paraId="6BE26FBB" w14:textId="0A3E60BA" w:rsidR="008105CF" w:rsidRPr="00CE745E" w:rsidRDefault="008105CF" w:rsidP="0084631F">
      <w:pPr>
        <w:pStyle w:val="ListParagraph"/>
        <w:numPr>
          <w:ilvl w:val="2"/>
          <w:numId w:val="2"/>
        </w:numPr>
        <w:spacing w:after="120"/>
        <w:ind w:left="1620" w:hanging="187"/>
        <w:contextualSpacing w:val="0"/>
      </w:pPr>
      <w:r>
        <w:t>Ca</w:t>
      </w:r>
      <w:r w:rsidR="0084631F">
        <w:t>rtridge storage areas</w:t>
      </w:r>
      <w:r>
        <w:t xml:space="preserve"> should be free of carbonyls.  </w:t>
      </w:r>
      <w:r w:rsidR="0084631F">
        <w:t>Cartridge r</w:t>
      </w:r>
      <w:r>
        <w:t>efrigeration units should not b</w:t>
      </w:r>
      <w:r w:rsidR="0037446B">
        <w:t>e used for storage of solvents or items containing carbonyl compounds.</w:t>
      </w:r>
    </w:p>
    <w:p w14:paraId="68E540C8" w14:textId="77777777" w:rsidR="0084631F" w:rsidRDefault="0084631F" w:rsidP="002F0EC1">
      <w:pPr>
        <w:pStyle w:val="ListParagraph"/>
        <w:numPr>
          <w:ilvl w:val="0"/>
          <w:numId w:val="5"/>
        </w:numPr>
        <w:ind w:left="720"/>
      </w:pPr>
      <w:r>
        <w:lastRenderedPageBreak/>
        <w:t>Chain of Custody</w:t>
      </w:r>
    </w:p>
    <w:p w14:paraId="3DF32F91" w14:textId="77777777" w:rsidR="0084631F" w:rsidRDefault="0084631F" w:rsidP="002F0EC1">
      <w:pPr>
        <w:pStyle w:val="ListParagraph"/>
      </w:pPr>
    </w:p>
    <w:p w14:paraId="3574B1A2" w14:textId="3D94321F" w:rsidR="002B66AB" w:rsidRDefault="002B66AB" w:rsidP="002F0EC1">
      <w:pPr>
        <w:pStyle w:val="ListParagraph"/>
      </w:pPr>
      <w:r>
        <w:t>Blank cartridge media may originate at the analysis laboratory, if provided by the analysis laboratory</w:t>
      </w:r>
      <w:r w:rsidR="0060239F">
        <w:t>;</w:t>
      </w:r>
      <w:r w:rsidR="0084631F">
        <w:t xml:space="preserve"> therefore</w:t>
      </w:r>
      <w:r w:rsidR="0060239F">
        <w:t>,</w:t>
      </w:r>
      <w:r w:rsidR="0084631F">
        <w:t xml:space="preserve"> chain of custody (COC) procedures may be prescribed by the analysis laboratory</w:t>
      </w:r>
      <w:r>
        <w:t>.  Regardless of the origin of the new cartridge media, each sample cartridge, whether a</w:t>
      </w:r>
      <w:r w:rsidR="006D3211">
        <w:t>n ambient sample or</w:t>
      </w:r>
      <w:r>
        <w:t xml:space="preserve"> field QC sample (such as a trip blank, field blank, or exposure blank) must be listed on a </w:t>
      </w:r>
      <w:r w:rsidR="004F71C2">
        <w:t xml:space="preserve">COC </w:t>
      </w:r>
      <w:r>
        <w:t>form</w:t>
      </w:r>
      <w:r w:rsidR="006D3211">
        <w:t>,</w:t>
      </w:r>
      <w:r>
        <w:t xml:space="preserve"> which serves to document the transfer of the sample cartridges from their origin, through collection, and transport to the analysis laboratory.  The following information </w:t>
      </w:r>
      <w:r w:rsidR="004F71C2">
        <w:t>will</w:t>
      </w:r>
      <w:r>
        <w:t xml:space="preserve"> minimally be recorded on the chain of custody form:</w:t>
      </w:r>
    </w:p>
    <w:p w14:paraId="58CF532A" w14:textId="77777777" w:rsidR="002B66AB" w:rsidRDefault="002B66AB" w:rsidP="002B66AB">
      <w:pPr>
        <w:pStyle w:val="ListParagraph"/>
      </w:pPr>
    </w:p>
    <w:p w14:paraId="24B65EC2" w14:textId="77777777" w:rsidR="002B66AB" w:rsidRDefault="002B66AB" w:rsidP="002F0EC1">
      <w:pPr>
        <w:pStyle w:val="ListParagraph"/>
        <w:numPr>
          <w:ilvl w:val="0"/>
          <w:numId w:val="3"/>
        </w:numPr>
        <w:spacing w:after="120"/>
        <w:ind w:left="1080"/>
        <w:contextualSpacing w:val="0"/>
      </w:pPr>
      <w:r>
        <w:t>Origin of cartridges (e.g. analysis laboratory or field office)</w:t>
      </w:r>
    </w:p>
    <w:p w14:paraId="035DEC8E" w14:textId="77777777" w:rsidR="002B66AB" w:rsidRDefault="002B66AB" w:rsidP="002F0EC1">
      <w:pPr>
        <w:pStyle w:val="ListParagraph"/>
        <w:numPr>
          <w:ilvl w:val="0"/>
          <w:numId w:val="3"/>
        </w:numPr>
        <w:spacing w:after="120"/>
        <w:ind w:left="1080"/>
        <w:contextualSpacing w:val="0"/>
      </w:pPr>
      <w:r>
        <w:t>Transfer of cartridges between individuals (this includes signatures and dates for receipt and relinquishing cartridges)</w:t>
      </w:r>
    </w:p>
    <w:p w14:paraId="4548C047" w14:textId="77777777" w:rsidR="002B66AB" w:rsidRDefault="002B66AB" w:rsidP="002F0EC1">
      <w:pPr>
        <w:pStyle w:val="ListParagraph"/>
        <w:numPr>
          <w:ilvl w:val="1"/>
          <w:numId w:val="3"/>
        </w:numPr>
        <w:spacing w:after="120"/>
        <w:ind w:left="1800"/>
        <w:contextualSpacing w:val="0"/>
      </w:pPr>
      <w:r>
        <w:t>Relinquishing cartridges to site operator (either by handoff or shipment</w:t>
      </w:r>
      <w:r w:rsidR="00B2248C">
        <w:t xml:space="preserve"> with courier</w:t>
      </w:r>
      <w:r>
        <w:t>)</w:t>
      </w:r>
    </w:p>
    <w:p w14:paraId="13054295" w14:textId="77777777" w:rsidR="002B66AB" w:rsidRDefault="002B66AB" w:rsidP="002F0EC1">
      <w:pPr>
        <w:pStyle w:val="ListParagraph"/>
        <w:numPr>
          <w:ilvl w:val="1"/>
          <w:numId w:val="3"/>
        </w:numPr>
        <w:spacing w:after="120"/>
        <w:ind w:left="1800"/>
        <w:contextualSpacing w:val="0"/>
      </w:pPr>
      <w:r>
        <w:t>Receipt of cartridges by site operator</w:t>
      </w:r>
    </w:p>
    <w:p w14:paraId="4BD7F8FD" w14:textId="77777777" w:rsidR="002B66AB" w:rsidRDefault="002B66AB" w:rsidP="002F0EC1">
      <w:pPr>
        <w:pStyle w:val="ListParagraph"/>
        <w:numPr>
          <w:ilvl w:val="1"/>
          <w:numId w:val="3"/>
        </w:numPr>
        <w:spacing w:after="120"/>
        <w:ind w:left="1800"/>
        <w:contextualSpacing w:val="0"/>
      </w:pPr>
      <w:r>
        <w:t xml:space="preserve">Relinquishing of </w:t>
      </w:r>
      <w:r w:rsidR="00527F99">
        <w:t xml:space="preserve">sampled </w:t>
      </w:r>
      <w:r w:rsidR="00B2248C">
        <w:t>cartridges by site operator following</w:t>
      </w:r>
      <w:r>
        <w:t xml:space="preserve"> retrieval</w:t>
      </w:r>
      <w:r w:rsidR="00B2248C">
        <w:t xml:space="preserve"> (for handoff to analysis laboratory or shipment with courier)</w:t>
      </w:r>
    </w:p>
    <w:p w14:paraId="3777D7DB" w14:textId="77777777" w:rsidR="002B66AB" w:rsidRDefault="002B66AB" w:rsidP="002F0EC1">
      <w:pPr>
        <w:pStyle w:val="ListParagraph"/>
        <w:numPr>
          <w:ilvl w:val="1"/>
          <w:numId w:val="3"/>
        </w:numPr>
        <w:spacing w:after="120"/>
        <w:ind w:left="1800"/>
        <w:contextualSpacing w:val="0"/>
      </w:pPr>
      <w:r>
        <w:t xml:space="preserve">Receipt of </w:t>
      </w:r>
      <w:r w:rsidR="00527F99">
        <w:t xml:space="preserve">sampled </w:t>
      </w:r>
      <w:r>
        <w:t>cartridges by analysis laboratory</w:t>
      </w:r>
    </w:p>
    <w:p w14:paraId="0BA0AD26" w14:textId="36DE2DBB" w:rsidR="002B66AB" w:rsidRDefault="002B66AB" w:rsidP="002F0EC1">
      <w:pPr>
        <w:pStyle w:val="ListParagraph"/>
        <w:numPr>
          <w:ilvl w:val="0"/>
          <w:numId w:val="3"/>
        </w:numPr>
        <w:spacing w:after="120"/>
        <w:ind w:left="1080"/>
        <w:contextualSpacing w:val="0"/>
      </w:pPr>
      <w:r>
        <w:t>Individual cartridges</w:t>
      </w:r>
      <w:r w:rsidR="00FC12BF">
        <w:t xml:space="preserve"> in the shipment</w:t>
      </w:r>
      <w:r>
        <w:t xml:space="preserve"> listed with a unique tracking identifier</w:t>
      </w:r>
    </w:p>
    <w:p w14:paraId="2E1F5450" w14:textId="424570D3" w:rsidR="002B66AB" w:rsidRDefault="002B66AB" w:rsidP="002F0EC1">
      <w:pPr>
        <w:pStyle w:val="ListParagraph"/>
        <w:numPr>
          <w:ilvl w:val="0"/>
          <w:numId w:val="3"/>
        </w:numPr>
        <w:spacing w:after="120"/>
        <w:ind w:left="1080"/>
        <w:contextualSpacing w:val="0"/>
      </w:pPr>
      <w:r>
        <w:t>Storage of cartridges at each point during transfer between individuals, including during shipment</w:t>
      </w:r>
      <w:r w:rsidR="00B2248C">
        <w:t xml:space="preserve"> (e.g. stored at ≤</w:t>
      </w:r>
      <w:r w:rsidR="009B501A">
        <w:t xml:space="preserve"> </w:t>
      </w:r>
      <w:r w:rsidR="00B2248C">
        <w:t>4°C in onsite refrigerator, shipped with freezer packs, etc.)</w:t>
      </w:r>
    </w:p>
    <w:p w14:paraId="02F23BCF" w14:textId="77777777" w:rsidR="002B66AB" w:rsidRDefault="002B66AB" w:rsidP="00FC12BF">
      <w:pPr>
        <w:pStyle w:val="ListParagraph"/>
      </w:pPr>
      <w:r>
        <w:t xml:space="preserve">Note that </w:t>
      </w:r>
      <w:r w:rsidR="00FE6968">
        <w:t xml:space="preserve">the </w:t>
      </w:r>
      <w:r w:rsidR="00B2248C">
        <w:t xml:space="preserve">convention for recording </w:t>
      </w:r>
      <w:r>
        <w:t>custody information f</w:t>
      </w:r>
      <w:r w:rsidR="00B2248C">
        <w:t xml:space="preserve">or the samples can include recording transfers and storage </w:t>
      </w:r>
      <w:r>
        <w:t xml:space="preserve">on the field collection data sheet; however, it may be more convenient to include a separate COC form </w:t>
      </w:r>
      <w:r w:rsidR="00B2248C">
        <w:t>for each shipment that encompasses all samples in the shipment.  A separate dedicated COC form reduces</w:t>
      </w:r>
      <w:r>
        <w:t xml:space="preserve"> the number</w:t>
      </w:r>
      <w:r w:rsidR="00B2248C">
        <w:t xml:space="preserve"> of instances where staff transferring cartridge custody</w:t>
      </w:r>
      <w:r>
        <w:t xml:space="preserve"> are required to sign.  </w:t>
      </w:r>
    </w:p>
    <w:p w14:paraId="46059F33" w14:textId="77777777" w:rsidR="00310636" w:rsidRDefault="00310636" w:rsidP="00544A11"/>
    <w:p w14:paraId="56935651" w14:textId="77777777" w:rsidR="00E80AA0" w:rsidRPr="00DC3ED4" w:rsidRDefault="00E80AA0" w:rsidP="00716F1B">
      <w:pPr>
        <w:pStyle w:val="ListParagraph"/>
        <w:numPr>
          <w:ilvl w:val="0"/>
          <w:numId w:val="9"/>
        </w:numPr>
        <w:ind w:left="360"/>
        <w:rPr>
          <w:b/>
        </w:rPr>
      </w:pPr>
      <w:r w:rsidRPr="00DC3ED4">
        <w:rPr>
          <w:b/>
        </w:rPr>
        <w:t>QUALITY CONTROL</w:t>
      </w:r>
    </w:p>
    <w:p w14:paraId="6D6352DD" w14:textId="77777777" w:rsidR="0089490E" w:rsidRDefault="0089490E" w:rsidP="0032665C">
      <w:pPr>
        <w:pStyle w:val="ListParagraph"/>
        <w:ind w:left="1440"/>
      </w:pPr>
    </w:p>
    <w:p w14:paraId="166EE8A4" w14:textId="5C62647D" w:rsidR="00AC7B2D" w:rsidRDefault="00AC7B2D" w:rsidP="00F60837">
      <w:pPr>
        <w:pStyle w:val="ListParagraph"/>
        <w:spacing w:after="120"/>
        <w:ind w:left="360"/>
        <w:contextualSpacing w:val="0"/>
      </w:pPr>
      <w:r>
        <w:t xml:space="preserve">Quality control and operational parameters </w:t>
      </w:r>
      <w:r w:rsidR="001A1A2C">
        <w:t>and their</w:t>
      </w:r>
      <w:r>
        <w:t xml:space="preserve"> associated frequency and acceptance criteria are summarized </w:t>
      </w:r>
      <w:r w:rsidR="00DC3ED4">
        <w:t xml:space="preserve">at the end of this </w:t>
      </w:r>
      <w:r w:rsidR="00310636">
        <w:t>S</w:t>
      </w:r>
      <w:r w:rsidR="00310636" w:rsidRPr="00310636">
        <w:t>OP</w:t>
      </w:r>
      <w:r w:rsidR="00DC3ED4" w:rsidRPr="00310636">
        <w:t xml:space="preserve"> </w:t>
      </w:r>
      <w:r w:rsidRPr="00310636">
        <w:t xml:space="preserve">in Table </w:t>
      </w:r>
      <w:r w:rsidR="00310636" w:rsidRPr="00310636">
        <w:t>4</w:t>
      </w:r>
      <w:r w:rsidRPr="00310636">
        <w:t>.</w:t>
      </w:r>
    </w:p>
    <w:p w14:paraId="37DF94E6" w14:textId="58996562" w:rsidR="002C1F84" w:rsidRDefault="002B66AB" w:rsidP="00FE6968">
      <w:pPr>
        <w:pStyle w:val="ListParagraph"/>
        <w:numPr>
          <w:ilvl w:val="1"/>
          <w:numId w:val="9"/>
        </w:numPr>
        <w:spacing w:after="120"/>
        <w:ind w:left="720"/>
        <w:contextualSpacing w:val="0"/>
      </w:pPr>
      <w:r>
        <w:t xml:space="preserve">Sample Inlet Probe </w:t>
      </w:r>
      <w:r w:rsidR="0089490E">
        <w:t>Siting</w:t>
      </w:r>
      <w:r>
        <w:t xml:space="preserve">:  </w:t>
      </w:r>
      <w:r w:rsidR="002C1F84">
        <w:t xml:space="preserve">Inlet probe siting must be compliant with the siting </w:t>
      </w:r>
      <w:r w:rsidR="002C1F84" w:rsidRPr="00340339">
        <w:t>criteria specified in 40 CFR Part 58 Appendix E</w:t>
      </w:r>
      <w:r w:rsidR="00340339" w:rsidRPr="00340339">
        <w:rPr>
          <w:vertAlign w:val="superscript"/>
        </w:rPr>
        <w:t>3</w:t>
      </w:r>
      <w:r w:rsidRPr="00340339">
        <w:t xml:space="preserve">, details of which are described in Section </w:t>
      </w:r>
      <w:r w:rsidR="00907B87" w:rsidRPr="00340339">
        <w:t>3</w:t>
      </w:r>
      <w:r w:rsidR="00651577" w:rsidRPr="00340339">
        <w:t>.3.1.2</w:t>
      </w:r>
      <w:r w:rsidRPr="00340339">
        <w:t xml:space="preserve"> o</w:t>
      </w:r>
      <w:r w:rsidRPr="00651577">
        <w:t>f the PAMS TAD Revision 2.</w:t>
      </w:r>
      <w:r w:rsidR="00340339">
        <w:rPr>
          <w:vertAlign w:val="superscript"/>
        </w:rPr>
        <w:t>6</w:t>
      </w:r>
    </w:p>
    <w:p w14:paraId="176013AC" w14:textId="6B6E9F46" w:rsidR="002C1F84" w:rsidRDefault="002B66AB" w:rsidP="00FE6968">
      <w:pPr>
        <w:pStyle w:val="ListParagraph"/>
        <w:numPr>
          <w:ilvl w:val="1"/>
          <w:numId w:val="9"/>
        </w:numPr>
        <w:spacing w:after="120"/>
        <w:ind w:left="720"/>
        <w:contextualSpacing w:val="0"/>
      </w:pPr>
      <w:r>
        <w:t>Positive Bias C</w:t>
      </w:r>
      <w:r w:rsidR="002C1F84">
        <w:t>h</w:t>
      </w:r>
      <w:r w:rsidR="00340339">
        <w:t>eck</w:t>
      </w:r>
      <w:r w:rsidR="002C1F84">
        <w:t xml:space="preserve">:  Prior to deployment and annually thereafter prior to PAMS season, the sampling unit is to be challenged with humidified zero air and a sample collected to demonstrate the sampling unit does not contribute to positive </w:t>
      </w:r>
      <w:r w:rsidR="002C1F84">
        <w:lastRenderedPageBreak/>
        <w:t xml:space="preserve">bias in measured concentrations.  The </w:t>
      </w:r>
      <w:r w:rsidR="00340339">
        <w:t>positive bias check</w:t>
      </w:r>
      <w:r w:rsidR="002C1F84">
        <w:t xml:space="preserve"> is preferably performed following instrument maintenance</w:t>
      </w:r>
      <w:r w:rsidR="002A2672">
        <w:t>,</w:t>
      </w:r>
      <w:r w:rsidR="002C1F84">
        <w:t xml:space="preserve"> which would include recharging or replacing the denuder, replacing particulate filter(s), replacing sample cartridge</w:t>
      </w:r>
      <w:r w:rsidR="001A1A2C">
        <w:t xml:space="preserve"> connection</w:t>
      </w:r>
      <w:r w:rsidR="002C1F84">
        <w:t xml:space="preserve"> tubing, and calibrating the MFC(s).  Additional details for the bias ch</w:t>
      </w:r>
      <w:r w:rsidR="00340339">
        <w:t>eck</w:t>
      </w:r>
      <w:r w:rsidR="002C1F84">
        <w:t xml:space="preserve"> are given in the PAMS TAD</w:t>
      </w:r>
      <w:r w:rsidR="00FE6968">
        <w:t xml:space="preserve"> </w:t>
      </w:r>
      <w:r w:rsidR="00DC3ED4">
        <w:t xml:space="preserve">Revision 2 </w:t>
      </w:r>
      <w:r w:rsidR="00FE6968">
        <w:t>Sectio</w:t>
      </w:r>
      <w:r w:rsidR="00FE6968" w:rsidRPr="00340339">
        <w:t xml:space="preserve">n </w:t>
      </w:r>
      <w:r w:rsidR="00340339" w:rsidRPr="00340339">
        <w:t>5.7</w:t>
      </w:r>
      <w:r w:rsidR="00DC3ED4" w:rsidRPr="00340339">
        <w:t>.</w:t>
      </w:r>
      <w:r w:rsidR="00340339" w:rsidRPr="00340339">
        <w:t>1</w:t>
      </w:r>
      <w:r w:rsidR="00DC3ED4" w:rsidRPr="00340339">
        <w:t>.1</w:t>
      </w:r>
      <w:r w:rsidR="002C1F84" w:rsidRPr="00340339">
        <w:t>.</w:t>
      </w:r>
      <w:r w:rsidR="00340339" w:rsidRPr="00340339">
        <w:rPr>
          <w:vertAlign w:val="superscript"/>
        </w:rPr>
        <w:t>6</w:t>
      </w:r>
    </w:p>
    <w:p w14:paraId="5BDF7856" w14:textId="77777777" w:rsidR="0089490E" w:rsidRDefault="00FE6968" w:rsidP="00FE6968">
      <w:pPr>
        <w:pStyle w:val="ListParagraph"/>
        <w:numPr>
          <w:ilvl w:val="1"/>
          <w:numId w:val="9"/>
        </w:numPr>
        <w:spacing w:after="120"/>
        <w:ind w:left="720"/>
        <w:contextualSpacing w:val="0"/>
      </w:pPr>
      <w:r>
        <w:t>Flow C</w:t>
      </w:r>
      <w:r w:rsidR="002C1F84">
        <w:t xml:space="preserve">alibration:  </w:t>
      </w:r>
      <w:r w:rsidR="00BE2183">
        <w:t xml:space="preserve">Prior to </w:t>
      </w:r>
      <w:r w:rsidR="002A2672">
        <w:t xml:space="preserve">the </w:t>
      </w:r>
      <w:r w:rsidR="00BE2183">
        <w:t xml:space="preserve">PAMS season or following failure of a flow verification check, the MFC(s) in the sampling unit are calibrated by standardization against a NIST-traceable flow transfer standard covering flows that bracket the desired flow range of the </w:t>
      </w:r>
      <w:r w:rsidR="00BE2183" w:rsidRPr="00AC7B2D">
        <w:t>sampling unit</w:t>
      </w:r>
      <w:r w:rsidR="0026005B" w:rsidRPr="00AC7B2D">
        <w:t xml:space="preserve"> as described in </w:t>
      </w:r>
      <w:r w:rsidR="00994067">
        <w:t xml:space="preserve">Section </w:t>
      </w:r>
      <w:r w:rsidR="00994067" w:rsidRPr="00A4577E">
        <w:t>J.3</w:t>
      </w:r>
      <w:r w:rsidR="00BE2183" w:rsidRPr="00A4577E">
        <w:t>.</w:t>
      </w:r>
      <w:r w:rsidR="00BE2183">
        <w:t xml:space="preserve">  </w:t>
      </w:r>
    </w:p>
    <w:p w14:paraId="271866B1" w14:textId="22EB01FB" w:rsidR="00BE2183" w:rsidRDefault="00BE2183" w:rsidP="00FE6968">
      <w:pPr>
        <w:pStyle w:val="ListParagraph"/>
        <w:numPr>
          <w:ilvl w:val="1"/>
          <w:numId w:val="9"/>
        </w:numPr>
        <w:spacing w:after="120"/>
        <w:ind w:left="720"/>
        <w:contextualSpacing w:val="0"/>
      </w:pPr>
      <w:r>
        <w:t xml:space="preserve">Flow </w:t>
      </w:r>
      <w:r w:rsidR="00FE6968">
        <w:t>Calibration Verification</w:t>
      </w:r>
      <w:r>
        <w:t xml:space="preserve">:  Minimally monthly, the flow of the </w:t>
      </w:r>
      <w:r w:rsidR="00846B6C">
        <w:t>sampling unit is verified by comparison to a NIST-traceabl</w:t>
      </w:r>
      <w:r w:rsidR="00A1713D">
        <w:t>e</w:t>
      </w:r>
      <w:r w:rsidR="00846B6C">
        <w:t xml:space="preserve"> certified flow transfer standard.  The measured flow must be within </w:t>
      </w:r>
      <w:r w:rsidR="00A1713D">
        <w:t>±</w:t>
      </w:r>
      <w:r w:rsidR="00846B6C">
        <w:t xml:space="preserve">10% of the flow indicated by the sampling unit or recalibration is necessary.  Site operators should immediately notify the agency QA representative </w:t>
      </w:r>
      <w:r w:rsidR="00A1713D">
        <w:t xml:space="preserve">of the failed flow calibration check </w:t>
      </w:r>
      <w:r w:rsidR="00846B6C">
        <w:t>to ensure that previously collected sample data are appropriately qualified (flagged).</w:t>
      </w:r>
    </w:p>
    <w:p w14:paraId="2E26587E" w14:textId="605FEB2A" w:rsidR="00544A11" w:rsidRPr="00CE745E" w:rsidRDefault="00704E26" w:rsidP="00544A11">
      <w:pPr>
        <w:pStyle w:val="ListParagraph"/>
        <w:numPr>
          <w:ilvl w:val="1"/>
          <w:numId w:val="9"/>
        </w:numPr>
        <w:spacing w:after="120"/>
        <w:ind w:left="720"/>
        <w:contextualSpacing w:val="0"/>
      </w:pPr>
      <w:r>
        <w:t xml:space="preserve">Field </w:t>
      </w:r>
      <w:r w:rsidR="00FE6968">
        <w:t>QC</w:t>
      </w:r>
      <w:r>
        <w:t xml:space="preserve"> Samples</w:t>
      </w:r>
      <w:r w:rsidR="00FE6968">
        <w:t>:</w:t>
      </w:r>
    </w:p>
    <w:p w14:paraId="101D9E43" w14:textId="77777777" w:rsidR="00544A11" w:rsidRDefault="00544A11" w:rsidP="00544A11">
      <w:pPr>
        <w:pStyle w:val="ListParagraph"/>
        <w:numPr>
          <w:ilvl w:val="2"/>
          <w:numId w:val="9"/>
        </w:numPr>
        <w:ind w:left="1620"/>
      </w:pPr>
      <w:r>
        <w:rPr>
          <w:b/>
        </w:rPr>
        <w:t xml:space="preserve">Field </w:t>
      </w:r>
      <w:r w:rsidRPr="00DC3ED4">
        <w:rPr>
          <w:b/>
        </w:rPr>
        <w:t>Blank (Required Twice</w:t>
      </w:r>
      <w:r>
        <w:rPr>
          <w:b/>
        </w:rPr>
        <w:t xml:space="preserve"> Monthly)</w:t>
      </w:r>
      <w:r w:rsidRPr="00137A51">
        <w:rPr>
          <w:b/>
        </w:rPr>
        <w:t>:</w:t>
      </w:r>
      <w:r>
        <w:t xml:space="preserve">  Field blank cartridges should remain in their sealed foil pouch until removed for exposure at the monitoring site.  Field blanks characterize the contribution of contamination due to field handling activities and installation in the sampling unit, and do not characterize the contamination that occurs due to the exposure of the cartridge between cartridge installation and retrieval.  To collect the field blank sample, install the cartridge in the sampling unit on an active sampling port employed for field sample collection, maintain the cartridge in the sampling unit for five to ten minutes, and retrieve as would be done for an ambient sample.  Place the caps on the field blank cartridge inlet and outlet, seal the capped cartridge into the foil pouch, and store the field blank under refrigeration (≤ 4°C) as soon as possible (</w:t>
      </w:r>
      <w:r>
        <w:rPr>
          <w:i/>
          <w:iCs/>
        </w:rPr>
        <w:t>note – Refrigerated storage may not be possible until retrieval of ambient samples)</w:t>
      </w:r>
      <w:r>
        <w:t xml:space="preserve"> until shipped to the laboratory. </w:t>
      </w:r>
    </w:p>
    <w:p w14:paraId="5B4D2490" w14:textId="77777777" w:rsidR="00544A11" w:rsidRDefault="00544A11" w:rsidP="00544A11">
      <w:pPr>
        <w:pStyle w:val="ListParagraph"/>
        <w:ind w:left="1620"/>
      </w:pPr>
    </w:p>
    <w:p w14:paraId="3980994E" w14:textId="77777777" w:rsidR="00544A11" w:rsidRDefault="00544A11" w:rsidP="00544A11">
      <w:pPr>
        <w:pStyle w:val="ListParagraph"/>
        <w:numPr>
          <w:ilvl w:val="2"/>
          <w:numId w:val="9"/>
        </w:numPr>
        <w:ind w:left="1620"/>
      </w:pPr>
      <w:r w:rsidRPr="00137A51">
        <w:rPr>
          <w:b/>
        </w:rPr>
        <w:t>Trip Blank</w:t>
      </w:r>
      <w:r>
        <w:rPr>
          <w:b/>
        </w:rPr>
        <w:t xml:space="preserve"> (OPTIONAL)</w:t>
      </w:r>
      <w:r w:rsidRPr="00137A51">
        <w:rPr>
          <w:b/>
        </w:rPr>
        <w:t>:</w:t>
      </w:r>
      <w:r>
        <w:t xml:space="preserve">  Trip blank cartridges should remain in the sealed foil pouch until removed for exposure during associated field sample handling.  The purpose of a trip blank is to characterize the contamination that occurs due to field sample handling during transport to the field site and to the analysis laboratory following retrieval.  To collect the trip blank sample, open the foil pouch and remove the caps momentarily from the cartridge and replace the caps.  Seal the capped cartridge into the foil pouch and store refrigerated (≤ 4°C) as soon as possible (</w:t>
      </w:r>
      <w:r>
        <w:rPr>
          <w:i/>
          <w:iCs/>
        </w:rPr>
        <w:t>note – Refrigerated storage may not be possible until retrieval of ambient samples)</w:t>
      </w:r>
      <w:r>
        <w:t xml:space="preserve"> until shipped to the laboratory.</w:t>
      </w:r>
    </w:p>
    <w:p w14:paraId="15861BE2" w14:textId="77777777" w:rsidR="00544A11" w:rsidRPr="001C7A7A" w:rsidRDefault="00544A11" w:rsidP="00544A11">
      <w:pPr>
        <w:pStyle w:val="ListParagraph"/>
        <w:ind w:left="1620"/>
        <w:rPr>
          <w:b/>
        </w:rPr>
      </w:pPr>
    </w:p>
    <w:p w14:paraId="54E858B5" w14:textId="77777777" w:rsidR="00544A11" w:rsidRDefault="00544A11" w:rsidP="00544A11">
      <w:pPr>
        <w:pStyle w:val="ListParagraph"/>
        <w:numPr>
          <w:ilvl w:val="2"/>
          <w:numId w:val="9"/>
        </w:numPr>
        <w:ind w:left="1620"/>
      </w:pPr>
      <w:r w:rsidRPr="001C7A7A">
        <w:rPr>
          <w:b/>
        </w:rPr>
        <w:lastRenderedPageBreak/>
        <w:t>Exposure Blank</w:t>
      </w:r>
      <w:r>
        <w:rPr>
          <w:b/>
        </w:rPr>
        <w:t xml:space="preserve"> (OPTIONAL)</w:t>
      </w:r>
      <w:r w:rsidRPr="001C7A7A">
        <w:rPr>
          <w:b/>
        </w:rPr>
        <w:t>:</w:t>
      </w:r>
      <w:r>
        <w:t xml:space="preserve">  Exposure blanks are similar to field blanks and trip blanks, where their purpose is to characterize potential contamination of ambient field samples; however, the purpose is to characterize the contamination contribution from exposing the cartridge to the same ambient conditions (minus flow) that an ambient sample experiences.  To collect an exposure blank sample, install the exposure blank cartridge into a dedicated channel on the sampling unit (if so equipped) through which air is not permitted to flow.  For multi-channel sampling units with unused channels, the exposure blank may be installed in a channel not activated for sample flow.  For sampling units that have neither a dedicated blank channel nor unused channel available, remove the exposure blank cartridge from the foil pouch, install it in the sampling unit for five to ten minutes, uninstall the cartridge and replace the endcaps, place the cartridge (outside of the foil pouch) near the sampling unit for the duration of the sequential sampling event, and the retrieve the cartridge at the time the ambient field samples are retrieved.  Seal the exposure blank cartridge in the foil pouch and store refrigerated (≤ 4°C) with the co-collected ambient field samples until shipped to the laboratory.</w:t>
      </w:r>
    </w:p>
    <w:p w14:paraId="70A00D04" w14:textId="77777777" w:rsidR="00544A11" w:rsidRDefault="00544A11" w:rsidP="00544A11">
      <w:pPr>
        <w:pStyle w:val="ListParagraph"/>
        <w:ind w:left="1620"/>
      </w:pPr>
    </w:p>
    <w:p w14:paraId="4720368F" w14:textId="77777777" w:rsidR="00544A11" w:rsidRDefault="00544A11" w:rsidP="00544A11">
      <w:pPr>
        <w:pStyle w:val="ListParagraph"/>
        <w:numPr>
          <w:ilvl w:val="2"/>
          <w:numId w:val="9"/>
        </w:numPr>
        <w:ind w:left="1620"/>
      </w:pPr>
      <w:r w:rsidRPr="002B5E25">
        <w:rPr>
          <w:b/>
        </w:rPr>
        <w:t>Duplicate Sample (OPTIONAL):</w:t>
      </w:r>
      <w:r>
        <w:t xml:space="preserve">  A duplicate sample is separate discrete ambient air sample collected concurrently with a primary sample.  The sample inlet pathway including the ozone denuder is common to both the primary and duplicate sample; however, the duplicate sample is connected to a separate channel on the sampling unit with a flow controller independent of the primary sample.  The duplicate sample is collected for 8 hours ± 20 minutes concurrently with one of the primary 8-hour sequential samples.</w:t>
      </w:r>
    </w:p>
    <w:p w14:paraId="39D9D933" w14:textId="77777777" w:rsidR="00544A11" w:rsidRDefault="00544A11" w:rsidP="00544A11">
      <w:pPr>
        <w:pStyle w:val="ListParagraph"/>
        <w:ind w:left="1620"/>
      </w:pPr>
    </w:p>
    <w:p w14:paraId="1CB87D92" w14:textId="468C60C4" w:rsidR="00544A11" w:rsidRDefault="00544A11" w:rsidP="00544A11">
      <w:pPr>
        <w:pStyle w:val="ListParagraph"/>
        <w:numPr>
          <w:ilvl w:val="2"/>
          <w:numId w:val="9"/>
        </w:numPr>
        <w:spacing w:after="120"/>
        <w:ind w:left="1627" w:hanging="187"/>
        <w:contextualSpacing w:val="0"/>
      </w:pPr>
      <w:r w:rsidRPr="00544A11">
        <w:rPr>
          <w:b/>
        </w:rPr>
        <w:t>Collocated Sample (OPTIONAL):</w:t>
      </w:r>
      <w:r>
        <w:t xml:space="preserve">  A collocated sample is similar to a duplicate sample in that it is a separate discrete ambient air sample collected concurrently with a primary sample, but differs in that the entire sampling flow path - the inlet probe, ozone denuder, and sampling unit - are independent of the primary sample.  The collocated sample is collected for 8 hours ± 20 minutes concurrently with one of the primary sequential 8-hour samples.</w:t>
      </w:r>
      <w:r>
        <w:br/>
      </w:r>
      <w:r w:rsidR="00FE6968">
        <w:t>Field blanks are required to be collected twice per month (once every two weeks)</w:t>
      </w:r>
      <w:r w:rsidR="00A1713D">
        <w:t>.  T</w:t>
      </w:r>
      <w:r w:rsidR="00FE6968">
        <w:t>rip blanks, exposure blanks, duplicate samples, and collocated samples are not required</w:t>
      </w:r>
      <w:r w:rsidR="00A1713D">
        <w:t>; however, i</w:t>
      </w:r>
      <w:r w:rsidR="008E37BA">
        <w:t xml:space="preserve">f </w:t>
      </w:r>
      <w:r w:rsidR="00A1713D">
        <w:t xml:space="preserve">these </w:t>
      </w:r>
      <w:r w:rsidR="008E37BA">
        <w:t xml:space="preserve">field QC samples are required by the monitoring agency, the </w:t>
      </w:r>
      <w:r w:rsidR="00AC7B2D">
        <w:t xml:space="preserve">frequency of collection is </w:t>
      </w:r>
      <w:r w:rsidR="001A1A2C">
        <w:t xml:space="preserve">to be </w:t>
      </w:r>
      <w:r w:rsidR="00AC7B2D">
        <w:t>prescribed in the monitoring agency</w:t>
      </w:r>
      <w:r w:rsidR="008E37BA">
        <w:t>’s</w:t>
      </w:r>
      <w:r w:rsidR="00AC7B2D">
        <w:t xml:space="preserve"> PAMS QAPP.</w:t>
      </w:r>
    </w:p>
    <w:p w14:paraId="1D0E0FAC" w14:textId="77777777" w:rsidR="00C433C4" w:rsidRDefault="00AC7B2D" w:rsidP="00FE6968">
      <w:pPr>
        <w:pStyle w:val="ListParagraph"/>
        <w:numPr>
          <w:ilvl w:val="1"/>
          <w:numId w:val="9"/>
        </w:numPr>
        <w:spacing w:after="120"/>
        <w:ind w:left="720"/>
      </w:pPr>
      <w:r>
        <w:t>Cartridge Lot Blank Determination and A</w:t>
      </w:r>
      <w:r w:rsidR="00C433C4">
        <w:t xml:space="preserve">cceptance:  Prior to use in the field for sample collection, each lot of DNPH cartridges </w:t>
      </w:r>
      <w:r w:rsidR="00DC3ED4">
        <w:t>will</w:t>
      </w:r>
      <w:r w:rsidR="00C433C4">
        <w:t xml:space="preserve"> be tested to ensure the background contamination is acceptably low.  Minimally 3 cartridges per lot or 1% of the received lot, whichever is greater, should be extracted and analyzed to </w:t>
      </w:r>
      <w:r w:rsidR="00C433C4">
        <w:lastRenderedPageBreak/>
        <w:t xml:space="preserve">determine the average background concentration.  </w:t>
      </w:r>
      <w:r w:rsidR="006874EE">
        <w:t xml:space="preserve">Each tested cartridge </w:t>
      </w:r>
      <w:r w:rsidR="00DC3ED4">
        <w:t>will</w:t>
      </w:r>
      <w:r w:rsidR="006874EE">
        <w:t xml:space="preserve"> </w:t>
      </w:r>
      <w:r w:rsidR="00C433C4">
        <w:t xml:space="preserve">meet the criteria in </w:t>
      </w:r>
      <w:r>
        <w:t>Table 1</w:t>
      </w:r>
      <w:r w:rsidR="00C433C4">
        <w:t>:</w:t>
      </w:r>
    </w:p>
    <w:p w14:paraId="3F7BECA9" w14:textId="77777777" w:rsidR="00AC7B2D" w:rsidRDefault="00AC7B2D" w:rsidP="00AC7B2D">
      <w:pPr>
        <w:pStyle w:val="ListParagraph"/>
        <w:spacing w:after="120"/>
      </w:pPr>
    </w:p>
    <w:p w14:paraId="1032EB8F" w14:textId="77777777" w:rsidR="00C433C4" w:rsidRPr="00AC7B2D" w:rsidRDefault="00AC7B2D" w:rsidP="00AC7B2D">
      <w:pPr>
        <w:pStyle w:val="ListParagraph"/>
        <w:ind w:left="1440"/>
        <w:rPr>
          <w:b/>
        </w:rPr>
      </w:pPr>
      <w:r>
        <w:rPr>
          <w:b/>
        </w:rPr>
        <w:t>Table 1</w:t>
      </w:r>
      <w:r w:rsidRPr="00AC7B2D">
        <w:rPr>
          <w:b/>
        </w:rPr>
        <w:t xml:space="preserve">.  </w:t>
      </w:r>
      <w:r>
        <w:rPr>
          <w:b/>
        </w:rPr>
        <w:t xml:space="preserve">DNPH Cartridge Lot Blank Acceptance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955"/>
      </w:tblGrid>
      <w:tr w:rsidR="00C433C4" w14:paraId="6014600E" w14:textId="77777777" w:rsidTr="00AC7B2D">
        <w:trPr>
          <w:jc w:val="center"/>
        </w:trPr>
        <w:tc>
          <w:tcPr>
            <w:tcW w:w="4675" w:type="dxa"/>
            <w:hideMark/>
          </w:tcPr>
          <w:p w14:paraId="0C839077" w14:textId="77777777" w:rsidR="00C433C4" w:rsidRPr="009F6232" w:rsidRDefault="00C433C4" w:rsidP="00AC7B2D">
            <w:pPr>
              <w:tabs>
                <w:tab w:val="left" w:pos="1080"/>
              </w:tabs>
              <w:spacing w:after="120"/>
              <w:ind w:left="-120"/>
              <w:contextualSpacing/>
              <w:jc w:val="center"/>
              <w:rPr>
                <w:b/>
                <w:sz w:val="20"/>
                <w:szCs w:val="20"/>
              </w:rPr>
            </w:pPr>
            <w:r w:rsidRPr="009F6232">
              <w:rPr>
                <w:b/>
                <w:sz w:val="20"/>
                <w:szCs w:val="20"/>
              </w:rPr>
              <w:t>Carbonyl Compound</w:t>
            </w:r>
          </w:p>
        </w:tc>
        <w:tc>
          <w:tcPr>
            <w:tcW w:w="3955" w:type="dxa"/>
            <w:hideMark/>
          </w:tcPr>
          <w:p w14:paraId="2E49CB98" w14:textId="7860466F" w:rsidR="00C433C4" w:rsidRPr="009F6232" w:rsidRDefault="00A4577E" w:rsidP="00AC7B2D">
            <w:pPr>
              <w:tabs>
                <w:tab w:val="left" w:pos="1080"/>
              </w:tabs>
              <w:spacing w:after="120"/>
              <w:ind w:left="-120"/>
              <w:contextualSpacing/>
              <w:jc w:val="center"/>
              <w:rPr>
                <w:b/>
                <w:sz w:val="20"/>
                <w:szCs w:val="20"/>
              </w:rPr>
            </w:pPr>
            <w:r>
              <w:rPr>
                <w:b/>
                <w:sz w:val="20"/>
                <w:szCs w:val="20"/>
              </w:rPr>
              <w:t>Acceptance</w:t>
            </w:r>
            <w:r w:rsidR="00C433C4" w:rsidRPr="009F6232">
              <w:rPr>
                <w:b/>
                <w:sz w:val="20"/>
                <w:szCs w:val="20"/>
              </w:rPr>
              <w:t xml:space="preserve"> Limit (µg/cartridge)</w:t>
            </w:r>
          </w:p>
        </w:tc>
      </w:tr>
      <w:tr w:rsidR="00C433C4" w14:paraId="01FBD3E6" w14:textId="77777777" w:rsidTr="00AC7B2D">
        <w:trPr>
          <w:jc w:val="center"/>
        </w:trPr>
        <w:tc>
          <w:tcPr>
            <w:tcW w:w="4675" w:type="dxa"/>
            <w:hideMark/>
          </w:tcPr>
          <w:p w14:paraId="08B5F120" w14:textId="77777777" w:rsidR="00C433C4" w:rsidRDefault="00C433C4" w:rsidP="00AC7B2D">
            <w:pPr>
              <w:tabs>
                <w:tab w:val="left" w:pos="1080"/>
              </w:tabs>
              <w:spacing w:after="120"/>
              <w:ind w:left="-120"/>
              <w:contextualSpacing/>
              <w:jc w:val="center"/>
              <w:rPr>
                <w:sz w:val="20"/>
                <w:szCs w:val="20"/>
              </w:rPr>
            </w:pPr>
            <w:r>
              <w:rPr>
                <w:sz w:val="20"/>
                <w:szCs w:val="20"/>
              </w:rPr>
              <w:t>Acetaldehyde</w:t>
            </w:r>
          </w:p>
        </w:tc>
        <w:tc>
          <w:tcPr>
            <w:tcW w:w="3955" w:type="dxa"/>
            <w:hideMark/>
          </w:tcPr>
          <w:p w14:paraId="46F00BA7" w14:textId="77777777" w:rsidR="00C433C4" w:rsidRDefault="00C433C4" w:rsidP="00AC7B2D">
            <w:pPr>
              <w:tabs>
                <w:tab w:val="left" w:pos="1080"/>
              </w:tabs>
              <w:spacing w:after="120"/>
              <w:ind w:left="-120"/>
              <w:contextualSpacing/>
              <w:jc w:val="center"/>
              <w:rPr>
                <w:sz w:val="20"/>
                <w:szCs w:val="20"/>
              </w:rPr>
            </w:pPr>
            <w:r>
              <w:rPr>
                <w:sz w:val="20"/>
                <w:szCs w:val="20"/>
              </w:rPr>
              <w:t>&lt; 0.10</w:t>
            </w:r>
          </w:p>
        </w:tc>
      </w:tr>
      <w:tr w:rsidR="00C433C4" w14:paraId="77A7B0B6" w14:textId="77777777" w:rsidTr="00AC7B2D">
        <w:trPr>
          <w:jc w:val="center"/>
        </w:trPr>
        <w:tc>
          <w:tcPr>
            <w:tcW w:w="4675" w:type="dxa"/>
            <w:hideMark/>
          </w:tcPr>
          <w:p w14:paraId="34FCC3F2" w14:textId="77777777" w:rsidR="00C433C4" w:rsidRDefault="00C433C4" w:rsidP="00AC7B2D">
            <w:pPr>
              <w:tabs>
                <w:tab w:val="left" w:pos="1080"/>
              </w:tabs>
              <w:spacing w:after="120"/>
              <w:ind w:left="-120"/>
              <w:contextualSpacing/>
              <w:jc w:val="center"/>
              <w:rPr>
                <w:sz w:val="20"/>
                <w:szCs w:val="20"/>
              </w:rPr>
            </w:pPr>
            <w:r>
              <w:rPr>
                <w:sz w:val="20"/>
                <w:szCs w:val="20"/>
              </w:rPr>
              <w:t>Formaldehyde</w:t>
            </w:r>
          </w:p>
        </w:tc>
        <w:tc>
          <w:tcPr>
            <w:tcW w:w="3955" w:type="dxa"/>
            <w:hideMark/>
          </w:tcPr>
          <w:p w14:paraId="5FF5E6E4" w14:textId="77777777" w:rsidR="00C433C4" w:rsidRDefault="00C433C4" w:rsidP="00AC7B2D">
            <w:pPr>
              <w:tabs>
                <w:tab w:val="left" w:pos="1080"/>
              </w:tabs>
              <w:spacing w:after="120"/>
              <w:ind w:left="-120"/>
              <w:contextualSpacing/>
              <w:jc w:val="center"/>
              <w:rPr>
                <w:sz w:val="20"/>
                <w:szCs w:val="20"/>
              </w:rPr>
            </w:pPr>
            <w:r>
              <w:rPr>
                <w:sz w:val="20"/>
                <w:szCs w:val="20"/>
              </w:rPr>
              <w:t>&lt; 0.15</w:t>
            </w:r>
          </w:p>
        </w:tc>
      </w:tr>
      <w:tr w:rsidR="00C433C4" w14:paraId="28863232" w14:textId="77777777" w:rsidTr="00AC7B2D">
        <w:trPr>
          <w:jc w:val="center"/>
        </w:trPr>
        <w:tc>
          <w:tcPr>
            <w:tcW w:w="4675" w:type="dxa"/>
            <w:hideMark/>
          </w:tcPr>
          <w:p w14:paraId="773327EE" w14:textId="77777777" w:rsidR="00C433C4" w:rsidRDefault="00C433C4" w:rsidP="00AC7B2D">
            <w:pPr>
              <w:tabs>
                <w:tab w:val="left" w:pos="1080"/>
              </w:tabs>
              <w:spacing w:after="120"/>
              <w:ind w:left="-120"/>
              <w:contextualSpacing/>
              <w:jc w:val="center"/>
              <w:rPr>
                <w:sz w:val="20"/>
                <w:szCs w:val="20"/>
              </w:rPr>
            </w:pPr>
            <w:r>
              <w:rPr>
                <w:sz w:val="20"/>
                <w:szCs w:val="20"/>
              </w:rPr>
              <w:t>Acetone</w:t>
            </w:r>
          </w:p>
        </w:tc>
        <w:tc>
          <w:tcPr>
            <w:tcW w:w="3955" w:type="dxa"/>
            <w:hideMark/>
          </w:tcPr>
          <w:p w14:paraId="008FD25F" w14:textId="77777777" w:rsidR="00C433C4" w:rsidRDefault="00C433C4" w:rsidP="00AC7B2D">
            <w:pPr>
              <w:tabs>
                <w:tab w:val="left" w:pos="1080"/>
              </w:tabs>
              <w:spacing w:after="120"/>
              <w:ind w:left="-120"/>
              <w:contextualSpacing/>
              <w:jc w:val="center"/>
              <w:rPr>
                <w:sz w:val="20"/>
                <w:szCs w:val="20"/>
              </w:rPr>
            </w:pPr>
            <w:r>
              <w:rPr>
                <w:sz w:val="20"/>
                <w:szCs w:val="20"/>
              </w:rPr>
              <w:t>&lt; 0.30</w:t>
            </w:r>
          </w:p>
        </w:tc>
      </w:tr>
      <w:tr w:rsidR="00C433C4" w14:paraId="5059ACA4" w14:textId="77777777" w:rsidTr="00AC7B2D">
        <w:trPr>
          <w:jc w:val="center"/>
        </w:trPr>
        <w:tc>
          <w:tcPr>
            <w:tcW w:w="4675" w:type="dxa"/>
            <w:hideMark/>
          </w:tcPr>
          <w:p w14:paraId="3F407E09" w14:textId="77777777" w:rsidR="00C433C4" w:rsidRDefault="00C433C4" w:rsidP="00AC7B2D">
            <w:pPr>
              <w:tabs>
                <w:tab w:val="left" w:pos="1080"/>
              </w:tabs>
              <w:spacing w:after="120"/>
              <w:ind w:left="-120"/>
              <w:contextualSpacing/>
              <w:jc w:val="center"/>
              <w:rPr>
                <w:sz w:val="20"/>
                <w:szCs w:val="20"/>
              </w:rPr>
            </w:pPr>
            <w:r>
              <w:rPr>
                <w:sz w:val="20"/>
                <w:szCs w:val="20"/>
              </w:rPr>
              <w:t>Other Individual Target Carbonyl Compounds</w:t>
            </w:r>
          </w:p>
        </w:tc>
        <w:tc>
          <w:tcPr>
            <w:tcW w:w="3955" w:type="dxa"/>
            <w:hideMark/>
          </w:tcPr>
          <w:p w14:paraId="282FE465" w14:textId="77777777" w:rsidR="00C433C4" w:rsidRDefault="00C433C4" w:rsidP="00AC7B2D">
            <w:pPr>
              <w:tabs>
                <w:tab w:val="left" w:pos="1080"/>
              </w:tabs>
              <w:spacing w:after="120"/>
              <w:ind w:left="-120"/>
              <w:contextualSpacing/>
              <w:jc w:val="center"/>
              <w:rPr>
                <w:sz w:val="20"/>
                <w:szCs w:val="20"/>
              </w:rPr>
            </w:pPr>
            <w:r>
              <w:rPr>
                <w:sz w:val="20"/>
                <w:szCs w:val="20"/>
              </w:rPr>
              <w:t>&lt; 0.10</w:t>
            </w:r>
          </w:p>
        </w:tc>
      </w:tr>
    </w:tbl>
    <w:p w14:paraId="1B40E107" w14:textId="77777777" w:rsidR="0089490E" w:rsidRDefault="0089490E" w:rsidP="00FE6968">
      <w:pPr>
        <w:spacing w:after="120"/>
        <w:ind w:left="720"/>
        <w:contextualSpacing/>
      </w:pPr>
    </w:p>
    <w:p w14:paraId="23058E08" w14:textId="002C703F" w:rsidR="006874EE" w:rsidRDefault="006874EE" w:rsidP="00F60837">
      <w:pPr>
        <w:spacing w:after="120"/>
        <w:ind w:left="360"/>
        <w:contextualSpacing/>
      </w:pPr>
      <w:r>
        <w:t xml:space="preserve">If the criteria in the table are not met, the lot </w:t>
      </w:r>
      <w:r w:rsidR="008C1ECB">
        <w:t xml:space="preserve">of media </w:t>
      </w:r>
      <w:r>
        <w:t>should not be used for sampling and should be returned to the vendor.</w:t>
      </w:r>
    </w:p>
    <w:p w14:paraId="2A3E01FA" w14:textId="77777777" w:rsidR="00BD6048" w:rsidRDefault="00BD6048" w:rsidP="00A4577E"/>
    <w:p w14:paraId="2BC65AE1" w14:textId="2A3E505B" w:rsidR="008C265A" w:rsidRDefault="008C265A" w:rsidP="008C265A">
      <w:pPr>
        <w:pStyle w:val="ListParagraph"/>
        <w:numPr>
          <w:ilvl w:val="0"/>
          <w:numId w:val="9"/>
        </w:numPr>
        <w:spacing w:after="120"/>
        <w:ind w:left="360"/>
        <w:contextualSpacing w:val="0"/>
        <w:rPr>
          <w:b/>
        </w:rPr>
      </w:pPr>
      <w:r>
        <w:rPr>
          <w:b/>
        </w:rPr>
        <w:t>SAMPLING UNIT SETUP AND CONFIGURATION</w:t>
      </w:r>
    </w:p>
    <w:p w14:paraId="58B155DF" w14:textId="77777777" w:rsidR="008C265A" w:rsidRDefault="008C265A" w:rsidP="008C265A">
      <w:pPr>
        <w:pStyle w:val="ListParagraph"/>
        <w:numPr>
          <w:ilvl w:val="1"/>
          <w:numId w:val="9"/>
        </w:numPr>
        <w:spacing w:after="120"/>
        <w:ind w:left="720"/>
        <w:contextualSpacing w:val="0"/>
      </w:pPr>
      <w:r>
        <w:t>Sampling Unit Receipt and Inspection</w:t>
      </w:r>
    </w:p>
    <w:p w14:paraId="26381F1C" w14:textId="77777777" w:rsidR="008C265A" w:rsidRDefault="008C265A" w:rsidP="008C265A">
      <w:pPr>
        <w:pStyle w:val="ListParagraph"/>
        <w:spacing w:after="120"/>
        <w:contextualSpacing w:val="0"/>
      </w:pPr>
      <w:r>
        <w:t xml:space="preserve">Per the manufacturer instructions, unpack the instrument and inspect that the sampling unit is in good physical condition and that there are not missing components or loose fasteners.  It is recommended that the sampling unit be purged with humidified zero air for a minimum of 24 hours prior to qualification for positive bias. </w:t>
      </w:r>
    </w:p>
    <w:p w14:paraId="520E3981" w14:textId="77777777" w:rsidR="008C265A" w:rsidRDefault="008C265A" w:rsidP="008C265A">
      <w:pPr>
        <w:pStyle w:val="ListParagraph"/>
        <w:numPr>
          <w:ilvl w:val="1"/>
          <w:numId w:val="9"/>
        </w:numPr>
        <w:spacing w:after="120"/>
        <w:ind w:left="720"/>
        <w:contextualSpacing w:val="0"/>
      </w:pPr>
      <w:r>
        <w:t>Required Verifications Prior to Sampling Unit Field Deployment (prior to PAMS season):</w:t>
      </w:r>
    </w:p>
    <w:p w14:paraId="06C0FCE2" w14:textId="77777777" w:rsidR="008C265A" w:rsidRDefault="008C265A" w:rsidP="008C265A">
      <w:pPr>
        <w:pStyle w:val="ListParagraph"/>
        <w:numPr>
          <w:ilvl w:val="2"/>
          <w:numId w:val="9"/>
        </w:numPr>
        <w:spacing w:after="120"/>
        <w:ind w:left="1620"/>
        <w:contextualSpacing w:val="0"/>
      </w:pPr>
      <w:r>
        <w:t xml:space="preserve">Positive Bias Check (Refer to </w:t>
      </w:r>
      <w:r w:rsidRPr="00A4577E">
        <w:t>Section I.2)</w:t>
      </w:r>
    </w:p>
    <w:p w14:paraId="34B2169C" w14:textId="39D9F5B0" w:rsidR="008C265A" w:rsidRDefault="008C265A" w:rsidP="008C265A">
      <w:pPr>
        <w:pStyle w:val="ListParagraph"/>
        <w:numPr>
          <w:ilvl w:val="2"/>
          <w:numId w:val="9"/>
        </w:numPr>
        <w:spacing w:after="120"/>
        <w:ind w:left="1620"/>
        <w:contextualSpacing w:val="0"/>
      </w:pPr>
      <w:r>
        <w:t xml:space="preserve">MFC Flow Calibration (Refer to </w:t>
      </w:r>
      <w:r w:rsidRPr="00A4577E">
        <w:t xml:space="preserve">Section </w:t>
      </w:r>
      <w:r>
        <w:t>J.3</w:t>
      </w:r>
      <w:r w:rsidRPr="00A4577E">
        <w:t>)</w:t>
      </w:r>
    </w:p>
    <w:p w14:paraId="2F1A3477" w14:textId="77777777" w:rsidR="008C265A" w:rsidRDefault="008C265A" w:rsidP="008C265A">
      <w:pPr>
        <w:pStyle w:val="ListParagraph"/>
        <w:numPr>
          <w:ilvl w:val="1"/>
          <w:numId w:val="9"/>
        </w:numPr>
        <w:spacing w:after="120"/>
        <w:ind w:left="720"/>
        <w:contextualSpacing w:val="0"/>
      </w:pPr>
      <w:r>
        <w:t xml:space="preserve">Sampling Unit Flow Calibration:  Prior to each PAMS season and following failure of a flow verification check, the MFC(s) in the sampling unit is calibrated by standardization against a NIST-traceable flow transfer standard covering flows that bracket the desired flow range of the sampling unit.  MFCs are to be calibrated at flows corrected to standard conditions of 760 mmHg and 25°C.  (Note that some sampling </w:t>
      </w:r>
      <w:proofErr w:type="gramStart"/>
      <w:r>
        <w:t>units</w:t>
      </w:r>
      <w:proofErr w:type="gramEnd"/>
      <w:r>
        <w:t xml:space="preserve"> default to standard conditions of 760 mmHg and 0°C as provided from the factory and may revert following power outages.  </w:t>
      </w:r>
      <w:r w:rsidRPr="00A36487">
        <w:rPr>
          <w:u w:val="single"/>
        </w:rPr>
        <w:t>The temperature reference must be corrected to 25°C</w:t>
      </w:r>
      <w:r>
        <w:rPr>
          <w:u w:val="single"/>
        </w:rPr>
        <w:t>.</w:t>
      </w:r>
      <w:r>
        <w:t>).  The flow rate slope and intercept are set according to the manufacturer’s procedures for calibrating the sampling unit flows.  Once the calibration is established, the flow at the desired setting is measured with the flow transfer standard and will be within ±10% of the flow setting.</w:t>
      </w:r>
    </w:p>
    <w:p w14:paraId="1B5B923F" w14:textId="77777777" w:rsidR="008C265A" w:rsidRDefault="008C265A" w:rsidP="008C265A">
      <w:pPr>
        <w:pStyle w:val="ListParagraph"/>
        <w:numPr>
          <w:ilvl w:val="1"/>
          <w:numId w:val="9"/>
        </w:numPr>
        <w:spacing w:after="120"/>
        <w:ind w:left="720"/>
        <w:contextualSpacing w:val="0"/>
      </w:pPr>
      <w:r>
        <w:t>Installation of the sampling unit at the field site (following positive bias check and MFC flow calibration):</w:t>
      </w:r>
    </w:p>
    <w:p w14:paraId="23064CA3" w14:textId="77777777" w:rsidR="008C265A" w:rsidRDefault="008C265A" w:rsidP="008C265A">
      <w:pPr>
        <w:pStyle w:val="ListParagraph"/>
        <w:numPr>
          <w:ilvl w:val="2"/>
          <w:numId w:val="9"/>
        </w:numPr>
        <w:spacing w:after="120"/>
        <w:ind w:left="1620" w:hanging="187"/>
        <w:contextualSpacing w:val="0"/>
      </w:pPr>
      <w:r>
        <w:t xml:space="preserve">Connect the sampling unit to AC power as specified in the instrument manual and power on the unit.  </w:t>
      </w:r>
    </w:p>
    <w:p w14:paraId="43B6C336" w14:textId="77777777" w:rsidR="008C265A" w:rsidRDefault="008C265A" w:rsidP="008C265A">
      <w:pPr>
        <w:pStyle w:val="ListParagraph"/>
        <w:numPr>
          <w:ilvl w:val="2"/>
          <w:numId w:val="9"/>
        </w:numPr>
        <w:spacing w:after="120"/>
        <w:ind w:left="1620" w:hanging="187"/>
        <w:contextualSpacing w:val="0"/>
      </w:pPr>
      <w:r>
        <w:t xml:space="preserve">Program the sampling unit calendar and clock timer to reflect the current date and accurate (within ± 5 minutes) local standard time (not corrected for daylight saving time).  </w:t>
      </w:r>
    </w:p>
    <w:p w14:paraId="556BB8B8" w14:textId="77777777" w:rsidR="008C265A" w:rsidRDefault="008C265A" w:rsidP="008C265A">
      <w:pPr>
        <w:pStyle w:val="ListParagraph"/>
        <w:numPr>
          <w:ilvl w:val="2"/>
          <w:numId w:val="9"/>
        </w:numPr>
        <w:spacing w:after="120"/>
        <w:ind w:left="1620" w:hanging="187"/>
        <w:contextualSpacing w:val="0"/>
      </w:pPr>
      <w:r>
        <w:lastRenderedPageBreak/>
        <w:t xml:space="preserve">Connect the sampling inlet line to the sampling unit inlet port following the instructions in the instrument manual.  Refer to </w:t>
      </w:r>
      <w:r w:rsidRPr="009119D6">
        <w:t>Secti</w:t>
      </w:r>
      <w:r w:rsidRPr="00A4577E">
        <w:t>on H.1 for co</w:t>
      </w:r>
      <w:r>
        <w:t>mpatible sampling line materials.</w:t>
      </w:r>
    </w:p>
    <w:p w14:paraId="209A5D56" w14:textId="77777777" w:rsidR="008C265A" w:rsidRDefault="008C265A" w:rsidP="008C265A">
      <w:pPr>
        <w:pStyle w:val="ListParagraph"/>
        <w:numPr>
          <w:ilvl w:val="2"/>
          <w:numId w:val="9"/>
        </w:numPr>
        <w:spacing w:after="120"/>
        <w:ind w:left="1620" w:hanging="187"/>
        <w:contextualSpacing w:val="0"/>
      </w:pPr>
      <w:r>
        <w:t>To eliminate dust or contaminants from entering the sampling unit flow path, connect each cartridge sampling port tubing inlet and outlet fittings together to close the pathway or install a placeholder cartridge in the port.</w:t>
      </w:r>
    </w:p>
    <w:p w14:paraId="339D74B2" w14:textId="770EEF48" w:rsidR="008C265A" w:rsidRDefault="008C265A" w:rsidP="008C265A">
      <w:pPr>
        <w:pStyle w:val="ListParagraph"/>
        <w:ind w:left="360"/>
      </w:pPr>
      <w:r>
        <w:t>If the MFC calibration was performed at a location other than the field site, a flow verification check should be performed on each channel to be used for sample collection.  If the verification measurement reading differs from the flow setting by more than ±10%, recalibration is necessary.</w:t>
      </w:r>
    </w:p>
    <w:p w14:paraId="12FE83F6" w14:textId="77777777" w:rsidR="008C265A" w:rsidRDefault="008C265A" w:rsidP="008C265A">
      <w:pPr>
        <w:pStyle w:val="ListParagraph"/>
        <w:ind w:left="360"/>
        <w:rPr>
          <w:b/>
        </w:rPr>
      </w:pPr>
    </w:p>
    <w:p w14:paraId="65334FFC" w14:textId="4442F130" w:rsidR="00EB31C1" w:rsidRPr="008C265A" w:rsidRDefault="008C265A" w:rsidP="008C265A">
      <w:pPr>
        <w:pStyle w:val="ListParagraph"/>
        <w:numPr>
          <w:ilvl w:val="0"/>
          <w:numId w:val="9"/>
        </w:numPr>
        <w:ind w:left="360"/>
        <w:rPr>
          <w:b/>
        </w:rPr>
      </w:pPr>
      <w:r>
        <w:rPr>
          <w:b/>
        </w:rPr>
        <w:t xml:space="preserve">SAMPLE COLLECTION </w:t>
      </w:r>
      <w:r w:rsidR="00E80AA0" w:rsidRPr="00DC3ED4">
        <w:rPr>
          <w:b/>
        </w:rPr>
        <w:t>PROCEDURE</w:t>
      </w:r>
      <w:r w:rsidR="00AC7B2D" w:rsidRPr="00DC3ED4">
        <w:rPr>
          <w:b/>
        </w:rPr>
        <w:br/>
      </w:r>
    </w:p>
    <w:p w14:paraId="7C9065BD" w14:textId="77777777" w:rsidR="002D4D34" w:rsidRDefault="002D4D34" w:rsidP="002F0EC1">
      <w:pPr>
        <w:pStyle w:val="ListParagraph"/>
        <w:numPr>
          <w:ilvl w:val="1"/>
          <w:numId w:val="9"/>
        </w:numPr>
        <w:spacing w:after="120"/>
        <w:ind w:left="720"/>
        <w:contextualSpacing w:val="0"/>
      </w:pPr>
      <w:r>
        <w:t>Sample Setup</w:t>
      </w:r>
    </w:p>
    <w:p w14:paraId="4A9BF2C7" w14:textId="030A93A2" w:rsidR="00DC3ED4" w:rsidRDefault="00DC3ED4" w:rsidP="002F0EC1">
      <w:pPr>
        <w:pStyle w:val="ListParagraph"/>
        <w:spacing w:after="120"/>
        <w:contextualSpacing w:val="0"/>
      </w:pPr>
      <w:r>
        <w:t xml:space="preserve">Site operators should transport sample cartridges under refrigeration to the field site in a cooler with freezer packs.  COC forms </w:t>
      </w:r>
      <w:proofErr w:type="gramStart"/>
      <w:r>
        <w:t xml:space="preserve">will accompany the sample cartridges </w:t>
      </w:r>
      <w:r w:rsidR="00EF25FF">
        <w:t>at all times</w:t>
      </w:r>
      <w:proofErr w:type="gramEnd"/>
      <w:r w:rsidR="00EF25FF">
        <w:t xml:space="preserve"> </w:t>
      </w:r>
      <w:r>
        <w:t>to and from the field site</w:t>
      </w:r>
      <w:r w:rsidR="008C265A">
        <w:t xml:space="preserve"> and to the analysis laboratory</w:t>
      </w:r>
      <w:r>
        <w:t>.</w:t>
      </w:r>
    </w:p>
    <w:p w14:paraId="5BBDA484" w14:textId="751E5402" w:rsidR="009A00C8" w:rsidRDefault="009A00C8" w:rsidP="002F0EC1">
      <w:pPr>
        <w:pStyle w:val="ListParagraph"/>
        <w:numPr>
          <w:ilvl w:val="2"/>
          <w:numId w:val="9"/>
        </w:numPr>
        <w:spacing w:after="120"/>
        <w:ind w:left="1620" w:hanging="187"/>
        <w:contextualSpacing w:val="0"/>
      </w:pPr>
      <w:r>
        <w:t xml:space="preserve">Field Blank:  If scheduled for the </w:t>
      </w:r>
      <w:proofErr w:type="gramStart"/>
      <w:r>
        <w:t>particular sampling</w:t>
      </w:r>
      <w:proofErr w:type="gramEnd"/>
      <w:r>
        <w:t xml:space="preserve"> event, site operators should </w:t>
      </w:r>
      <w:r w:rsidR="00DC3ED4">
        <w:t>collect</w:t>
      </w:r>
      <w:r w:rsidR="002F63F5">
        <w:t xml:space="preserve"> </w:t>
      </w:r>
      <w:r>
        <w:t>the field blank sample prior to installing the cartridge</w:t>
      </w:r>
      <w:r w:rsidR="00DC3ED4">
        <w:t>s</w:t>
      </w:r>
      <w:r>
        <w:t xml:space="preserve"> for field sample collection.  Install the field blank cartridge in a position </w:t>
      </w:r>
      <w:r w:rsidR="00EF25FF">
        <w:t>employ</w:t>
      </w:r>
      <w:r>
        <w:t xml:space="preserve">ed for </w:t>
      </w:r>
      <w:r w:rsidR="00EF25FF">
        <w:t xml:space="preserve">active </w:t>
      </w:r>
      <w:r>
        <w:t xml:space="preserve">ambient sample collection for five to ten minutes and retrieve the sample, </w:t>
      </w:r>
      <w:r w:rsidR="00EF25FF">
        <w:t xml:space="preserve">capping the cartridge, sealing the capped cartridge in the foil pouch, and </w:t>
      </w:r>
      <w:r>
        <w:t xml:space="preserve">storing under refrigeration </w:t>
      </w:r>
      <w:r w:rsidR="00166F9C">
        <w:br/>
      </w:r>
      <w:r w:rsidR="00EF25FF">
        <w:t xml:space="preserve">(≤ 4°C) </w:t>
      </w:r>
      <w:r>
        <w:t>until shipped to the analysis laboratory.</w:t>
      </w:r>
    </w:p>
    <w:p w14:paraId="155D4F32" w14:textId="77777777" w:rsidR="009A00C8" w:rsidRDefault="0026005B" w:rsidP="002F0EC1">
      <w:pPr>
        <w:pStyle w:val="ListParagraph"/>
        <w:numPr>
          <w:ilvl w:val="2"/>
          <w:numId w:val="9"/>
        </w:numPr>
        <w:spacing w:after="120"/>
        <w:ind w:left="1620"/>
        <w:contextualSpacing w:val="0"/>
      </w:pPr>
      <w:r>
        <w:t>Sample Cartridge I</w:t>
      </w:r>
      <w:r w:rsidR="00704E26">
        <w:t>nstallation</w:t>
      </w:r>
      <w:r>
        <w:t xml:space="preserve">:  </w:t>
      </w:r>
    </w:p>
    <w:p w14:paraId="37B3F294" w14:textId="77777777" w:rsidR="00836C9A" w:rsidRDefault="00836C9A" w:rsidP="002F0EC1">
      <w:pPr>
        <w:pStyle w:val="ListParagraph"/>
        <w:numPr>
          <w:ilvl w:val="3"/>
          <w:numId w:val="9"/>
        </w:numPr>
        <w:spacing w:after="120"/>
        <w:ind w:left="2160"/>
        <w:contextualSpacing w:val="0"/>
      </w:pPr>
      <w:r>
        <w:t xml:space="preserve">Cartridge connections are tapered press-fit and are secured by applying </w:t>
      </w:r>
      <w:proofErr w:type="gramStart"/>
      <w:r>
        <w:t>sufficient</w:t>
      </w:r>
      <w:proofErr w:type="gramEnd"/>
      <w:r>
        <w:t xml:space="preserve"> pressure to the fittings to ensure an airtight seal.  </w:t>
      </w:r>
    </w:p>
    <w:p w14:paraId="0D6DE133" w14:textId="016BF21C" w:rsidR="00836C9A" w:rsidRDefault="0026005B" w:rsidP="008C265A">
      <w:pPr>
        <w:pStyle w:val="ListParagraph"/>
        <w:numPr>
          <w:ilvl w:val="4"/>
          <w:numId w:val="9"/>
        </w:numPr>
        <w:spacing w:after="120"/>
        <w:ind w:left="2520"/>
        <w:contextualSpacing w:val="0"/>
      </w:pPr>
      <w:r>
        <w:t xml:space="preserve">Supelco cartridges must be installed in the sampling unit such that the sampling flow matches the </w:t>
      </w:r>
      <w:r w:rsidR="003B41B1">
        <w:t xml:space="preserve">proper </w:t>
      </w:r>
      <w:r>
        <w:t xml:space="preserve">direction of flow. </w:t>
      </w:r>
      <w:r w:rsidR="00836C9A">
        <w:t xml:space="preserve"> </w:t>
      </w:r>
      <w:r w:rsidR="006874EE">
        <w:t xml:space="preserve">The cartridges are directional; the narrow opening is the cartridge inlet and the wider opening is the cartridge outlet.  </w:t>
      </w:r>
      <w:r w:rsidR="00836C9A">
        <w:t xml:space="preserve">Adapter fittings </w:t>
      </w:r>
      <w:r w:rsidR="00EF25FF">
        <w:t>(</w:t>
      </w:r>
      <w:r w:rsidR="008C1ECB">
        <w:t>P/N 21018-U</w:t>
      </w:r>
      <w:r w:rsidR="00EF25FF">
        <w:t xml:space="preserve">) </w:t>
      </w:r>
      <w:r w:rsidR="008C1ECB">
        <w:t>are required</w:t>
      </w:r>
      <w:r w:rsidR="00836C9A">
        <w:t xml:space="preserve"> </w:t>
      </w:r>
      <w:r w:rsidR="006874EE">
        <w:t xml:space="preserve">on the outlet end </w:t>
      </w:r>
      <w:r w:rsidR="00836C9A">
        <w:t>to install Supelco cartridges.</w:t>
      </w:r>
      <w:r w:rsidR="008C1ECB" w:rsidRPr="008C1ECB">
        <w:rPr>
          <w:vertAlign w:val="superscript"/>
        </w:rPr>
        <w:t>4</w:t>
      </w:r>
      <w:r w:rsidR="00836C9A">
        <w:t xml:space="preserve"> </w:t>
      </w:r>
      <w:r>
        <w:t xml:space="preserve"> </w:t>
      </w:r>
    </w:p>
    <w:p w14:paraId="4B65154D" w14:textId="2533CF46" w:rsidR="009616B0" w:rsidRDefault="0026005B" w:rsidP="008C265A">
      <w:pPr>
        <w:pStyle w:val="ListParagraph"/>
        <w:numPr>
          <w:ilvl w:val="4"/>
          <w:numId w:val="9"/>
        </w:numPr>
        <w:spacing w:after="120"/>
        <w:ind w:left="2520"/>
        <w:contextualSpacing w:val="0"/>
      </w:pPr>
      <w:r>
        <w:t>Waters cartridges are bi-directional</w:t>
      </w:r>
      <w:r w:rsidR="00836C9A">
        <w:t xml:space="preserve"> for flow</w:t>
      </w:r>
      <w:r>
        <w:t xml:space="preserve">, </w:t>
      </w:r>
      <w:r w:rsidR="00836C9A">
        <w:t xml:space="preserve">but </w:t>
      </w:r>
      <w:r w:rsidR="00EF25FF">
        <w:t>should be</w:t>
      </w:r>
      <w:r w:rsidR="00836C9A">
        <w:t xml:space="preserve"> installed such that the narrow diameter </w:t>
      </w:r>
      <w:r w:rsidR="002B5947">
        <w:t xml:space="preserve">cartridge </w:t>
      </w:r>
      <w:r w:rsidR="00836C9A">
        <w:t xml:space="preserve">opening is connected to the </w:t>
      </w:r>
      <w:r w:rsidR="009E372E">
        <w:t xml:space="preserve">sampling unit’s </w:t>
      </w:r>
      <w:r w:rsidR="00836C9A">
        <w:t xml:space="preserve">female </w:t>
      </w:r>
      <w:proofErr w:type="spellStart"/>
      <w:r w:rsidR="00836C9A">
        <w:t>Luer</w:t>
      </w:r>
      <w:proofErr w:type="spellEnd"/>
      <w:r w:rsidR="00836C9A">
        <w:t xml:space="preserve"> fitting and the wider diameter </w:t>
      </w:r>
      <w:r w:rsidR="009E372E">
        <w:t xml:space="preserve">cartridge </w:t>
      </w:r>
      <w:r w:rsidR="00836C9A">
        <w:t xml:space="preserve">opening is connected to the </w:t>
      </w:r>
      <w:r w:rsidR="009E372E">
        <w:t xml:space="preserve">sampling unit’s </w:t>
      </w:r>
      <w:r w:rsidR="00836C9A">
        <w:t xml:space="preserve">male fitting </w:t>
      </w:r>
      <w:r w:rsidR="002B5947">
        <w:t xml:space="preserve">(narrower) </w:t>
      </w:r>
      <w:r w:rsidR="00836C9A">
        <w:t>from the sampling unit.  The tubing configuration on the sampling unit will determine the cartridge orientation</w:t>
      </w:r>
      <w:r w:rsidR="002B5947">
        <w:t xml:space="preserve"> and only allows installation in one direction</w:t>
      </w:r>
      <w:r w:rsidR="00836C9A">
        <w:t>.</w:t>
      </w:r>
      <w:r w:rsidR="008C1ECB" w:rsidRPr="008C1ECB">
        <w:rPr>
          <w:vertAlign w:val="superscript"/>
        </w:rPr>
        <w:t>5</w:t>
      </w:r>
    </w:p>
    <w:p w14:paraId="7FEF1884" w14:textId="707EB3CE" w:rsidR="009969F2" w:rsidRDefault="009969F2" w:rsidP="002F0EC1">
      <w:pPr>
        <w:pStyle w:val="ListParagraph"/>
        <w:numPr>
          <w:ilvl w:val="2"/>
          <w:numId w:val="9"/>
        </w:numPr>
        <w:spacing w:after="120"/>
        <w:ind w:left="1620" w:hanging="187"/>
        <w:contextualSpacing w:val="0"/>
      </w:pPr>
      <w:r>
        <w:lastRenderedPageBreak/>
        <w:t xml:space="preserve">Install the cartridges in the </w:t>
      </w:r>
      <w:r w:rsidR="005E0A44">
        <w:t xml:space="preserve">sampling positions designated </w:t>
      </w:r>
      <w:r w:rsidR="009E372E">
        <w:t xml:space="preserve">and programmed </w:t>
      </w:r>
      <w:r w:rsidR="005E0A44">
        <w:t xml:space="preserve">for sequential sampling.  Minimally, </w:t>
      </w:r>
      <w:r w:rsidR="00986A52">
        <w:t>three cartridges will be installed in the sampling unit</w:t>
      </w:r>
      <w:r w:rsidR="002B5947">
        <w:t xml:space="preserve"> for each sampling event</w:t>
      </w:r>
      <w:r w:rsidR="00986A52">
        <w:t>, one for each of the 8-hour sequential samples for the sampling day.</w:t>
      </w:r>
      <w:r w:rsidR="00D66CE7">
        <w:t xml:space="preserve">  Exposure blanks or duplicate samples may also be installed</w:t>
      </w:r>
      <w:r w:rsidR="009E372E">
        <w:t xml:space="preserve"> as</w:t>
      </w:r>
      <w:r w:rsidR="00D66CE7">
        <w:t xml:space="preserve"> required by the monitoring agency.</w:t>
      </w:r>
    </w:p>
    <w:p w14:paraId="128C6F3A" w14:textId="4F4A1E42" w:rsidR="00F33ECE" w:rsidRDefault="00986A52" w:rsidP="002F0EC1">
      <w:pPr>
        <w:pStyle w:val="ListParagraph"/>
        <w:numPr>
          <w:ilvl w:val="2"/>
          <w:numId w:val="9"/>
        </w:numPr>
        <w:spacing w:after="120"/>
        <w:ind w:left="1620" w:hanging="187"/>
        <w:contextualSpacing w:val="0"/>
      </w:pPr>
      <w:r>
        <w:t xml:space="preserve">Program the sampling unit timer </w:t>
      </w:r>
      <w:r w:rsidR="00F553F8">
        <w:t xml:space="preserve">per the instrument manual </w:t>
      </w:r>
      <w:r w:rsidR="00F33ECE">
        <w:t xml:space="preserve">to sample </w:t>
      </w:r>
      <w:r w:rsidR="002F63F5">
        <w:t xml:space="preserve">at a flow rate of 0.5 to 1.25 L/minute </w:t>
      </w:r>
      <w:r w:rsidR="00F33ECE">
        <w:t xml:space="preserve">per the </w:t>
      </w:r>
      <w:r>
        <w:t>schedule</w:t>
      </w:r>
      <w:r w:rsidR="00F33ECE">
        <w:t xml:space="preserve"> </w:t>
      </w:r>
      <w:r w:rsidR="00D66CE7">
        <w:t xml:space="preserve">in Table </w:t>
      </w:r>
      <w:r w:rsidR="008C1ECB">
        <w:t>2</w:t>
      </w:r>
      <w:r w:rsidR="00D66CE7">
        <w:t xml:space="preserve"> </w:t>
      </w:r>
      <w:r w:rsidR="00DC3ED4">
        <w:t xml:space="preserve">once </w:t>
      </w:r>
      <w:r w:rsidR="00F33ECE">
        <w:t>every three days per the national sampling calendar</w:t>
      </w:r>
      <w:r w:rsidR="00D66CE7">
        <w:t>,</w:t>
      </w:r>
      <w:r w:rsidR="009A00C8">
        <w:t xml:space="preserve"> which is</w:t>
      </w:r>
      <w:r w:rsidR="00F33ECE">
        <w:t xml:space="preserve"> available on </w:t>
      </w:r>
      <w:r w:rsidR="00CA630D">
        <w:t xml:space="preserve">EPA’s </w:t>
      </w:r>
      <w:r w:rsidR="00F33ECE" w:rsidRPr="00CA630D">
        <w:t>AMTIC</w:t>
      </w:r>
      <w:r w:rsidR="00F33ECE">
        <w:t xml:space="preserve"> </w:t>
      </w:r>
      <w:r w:rsidR="00CA630D">
        <w:t xml:space="preserve">website </w:t>
      </w:r>
      <w:r w:rsidR="00F33ECE">
        <w:t>at the following link</w:t>
      </w:r>
      <w:r>
        <w:t>:</w:t>
      </w:r>
    </w:p>
    <w:p w14:paraId="3093AD82" w14:textId="77777777" w:rsidR="00F33ECE" w:rsidRDefault="00104250" w:rsidP="002F0EC1">
      <w:pPr>
        <w:ind w:left="1620"/>
      </w:pPr>
      <w:hyperlink r:id="rId9" w:history="1">
        <w:r w:rsidR="00F33ECE" w:rsidRPr="00337B50">
          <w:rPr>
            <w:rStyle w:val="Hyperlink"/>
          </w:rPr>
          <w:t>https://www3.epa.gov/ttn/amtic/calendar.html</w:t>
        </w:r>
      </w:hyperlink>
    </w:p>
    <w:p w14:paraId="313A35D0" w14:textId="212F3D7D" w:rsidR="002B5947" w:rsidRDefault="002B5947" w:rsidP="00F33ECE"/>
    <w:p w14:paraId="06FA349A" w14:textId="1DB05247" w:rsidR="002B5947" w:rsidRPr="002B5947" w:rsidRDefault="002B5947" w:rsidP="002B5947">
      <w:pPr>
        <w:jc w:val="center"/>
        <w:rPr>
          <w:b/>
        </w:rPr>
      </w:pPr>
      <w:r w:rsidRPr="002F63F5">
        <w:rPr>
          <w:b/>
        </w:rPr>
        <w:t xml:space="preserve">Table </w:t>
      </w:r>
      <w:r w:rsidR="00310636">
        <w:rPr>
          <w:b/>
        </w:rPr>
        <w:t>2.</w:t>
      </w:r>
      <w:r w:rsidRPr="002F63F5">
        <w:rPr>
          <w:b/>
        </w:rPr>
        <w:t xml:space="preserve"> </w:t>
      </w:r>
      <w:r w:rsidR="00310636">
        <w:rPr>
          <w:b/>
        </w:rPr>
        <w:t xml:space="preserve"> PAMS </w:t>
      </w:r>
      <w:r w:rsidRPr="002F63F5">
        <w:rPr>
          <w:b/>
        </w:rPr>
        <w:t>Carbonyl</w:t>
      </w:r>
      <w:r w:rsidRPr="009119D6">
        <w:rPr>
          <w:b/>
        </w:rPr>
        <w:t xml:space="preserve"> </w:t>
      </w:r>
      <w:r w:rsidR="00310636">
        <w:rPr>
          <w:b/>
        </w:rPr>
        <w:t>Sampling Sequence Schedule</w:t>
      </w:r>
    </w:p>
    <w:tbl>
      <w:tblPr>
        <w:tblStyle w:val="TableGrid"/>
        <w:tblW w:w="0" w:type="auto"/>
        <w:tblInd w:w="175" w:type="dxa"/>
        <w:tblLook w:val="04A0" w:firstRow="1" w:lastRow="0" w:firstColumn="1" w:lastColumn="0" w:noHBand="0" w:noVBand="1"/>
      </w:tblPr>
      <w:tblGrid>
        <w:gridCol w:w="1440"/>
        <w:gridCol w:w="2340"/>
        <w:gridCol w:w="2340"/>
        <w:gridCol w:w="2335"/>
      </w:tblGrid>
      <w:tr w:rsidR="00F33ECE" w14:paraId="4ACDF400" w14:textId="77777777" w:rsidTr="00D66CE7">
        <w:tc>
          <w:tcPr>
            <w:tcW w:w="1440" w:type="dxa"/>
          </w:tcPr>
          <w:p w14:paraId="7CEA9872" w14:textId="77777777" w:rsidR="00986A52" w:rsidRDefault="00F33ECE" w:rsidP="002B5947">
            <w:pPr>
              <w:pStyle w:val="ListParagraph"/>
              <w:ind w:left="0"/>
              <w:jc w:val="center"/>
            </w:pPr>
            <w:r>
              <w:t>Sequential Sample</w:t>
            </w:r>
          </w:p>
        </w:tc>
        <w:tc>
          <w:tcPr>
            <w:tcW w:w="2340" w:type="dxa"/>
          </w:tcPr>
          <w:p w14:paraId="4EE7362A" w14:textId="7221BBF7" w:rsidR="00986A52" w:rsidRDefault="009A00C8" w:rsidP="002B5947">
            <w:pPr>
              <w:pStyle w:val="ListParagraph"/>
              <w:ind w:left="0"/>
              <w:jc w:val="center"/>
            </w:pPr>
            <w:r>
              <w:t>Start T</w:t>
            </w:r>
            <w:r w:rsidR="00986A52">
              <w:t>ime</w:t>
            </w:r>
            <w:r w:rsidR="00CD29E4">
              <w:t xml:space="preserve"> </w:t>
            </w:r>
            <w:r w:rsidR="002B5947">
              <w:br/>
            </w:r>
            <w:r w:rsidR="00CD29E4">
              <w:t>(local standard time)</w:t>
            </w:r>
          </w:p>
        </w:tc>
        <w:tc>
          <w:tcPr>
            <w:tcW w:w="2340" w:type="dxa"/>
          </w:tcPr>
          <w:p w14:paraId="1715C0B4" w14:textId="09E004B8" w:rsidR="00986A52" w:rsidRDefault="009A00C8" w:rsidP="002B5947">
            <w:pPr>
              <w:pStyle w:val="ListParagraph"/>
              <w:ind w:left="0"/>
              <w:jc w:val="center"/>
            </w:pPr>
            <w:r>
              <w:t>End T</w:t>
            </w:r>
            <w:r w:rsidR="00986A52">
              <w:t>ime</w:t>
            </w:r>
            <w:r w:rsidR="002B5947">
              <w:br/>
            </w:r>
            <w:r w:rsidR="00CD29E4">
              <w:t>(local standard time)</w:t>
            </w:r>
          </w:p>
        </w:tc>
        <w:tc>
          <w:tcPr>
            <w:tcW w:w="2335" w:type="dxa"/>
          </w:tcPr>
          <w:p w14:paraId="388E6BE5" w14:textId="77777777" w:rsidR="00986A52" w:rsidRDefault="009A00C8" w:rsidP="002B5947">
            <w:pPr>
              <w:pStyle w:val="ListParagraph"/>
              <w:ind w:left="0"/>
              <w:jc w:val="center"/>
            </w:pPr>
            <w:r>
              <w:t>Sample D</w:t>
            </w:r>
            <w:r w:rsidR="00F33ECE">
              <w:t>uration (</w:t>
            </w:r>
            <w:proofErr w:type="spellStart"/>
            <w:r w:rsidR="00F33ECE">
              <w:t>hh:mm</w:t>
            </w:r>
            <w:proofErr w:type="spellEnd"/>
            <w:r w:rsidR="00F33ECE">
              <w:t>)</w:t>
            </w:r>
          </w:p>
        </w:tc>
      </w:tr>
      <w:tr w:rsidR="00F33ECE" w14:paraId="217847EB" w14:textId="77777777" w:rsidTr="00D66CE7">
        <w:tc>
          <w:tcPr>
            <w:tcW w:w="1440" w:type="dxa"/>
          </w:tcPr>
          <w:p w14:paraId="5A168C99" w14:textId="77777777" w:rsidR="00986A52" w:rsidRDefault="00F33ECE" w:rsidP="002B5947">
            <w:pPr>
              <w:pStyle w:val="ListParagraph"/>
              <w:ind w:left="0"/>
              <w:jc w:val="center"/>
            </w:pPr>
            <w:r>
              <w:t>1</w:t>
            </w:r>
          </w:p>
        </w:tc>
        <w:tc>
          <w:tcPr>
            <w:tcW w:w="2340" w:type="dxa"/>
          </w:tcPr>
          <w:p w14:paraId="2E1CB94D" w14:textId="58E67E05" w:rsidR="00986A52" w:rsidRDefault="00986A52" w:rsidP="002B5947">
            <w:pPr>
              <w:pStyle w:val="ListParagraph"/>
              <w:ind w:left="0"/>
              <w:jc w:val="center"/>
            </w:pPr>
            <w:r>
              <w:t>0</w:t>
            </w:r>
            <w:r w:rsidR="00CD29E4">
              <w:t>4</w:t>
            </w:r>
            <w:r>
              <w:t>:00</w:t>
            </w:r>
          </w:p>
        </w:tc>
        <w:tc>
          <w:tcPr>
            <w:tcW w:w="2340" w:type="dxa"/>
          </w:tcPr>
          <w:p w14:paraId="1EFD9225" w14:textId="644A1106" w:rsidR="00986A52" w:rsidRDefault="00CD29E4" w:rsidP="002B5947">
            <w:pPr>
              <w:pStyle w:val="ListParagraph"/>
              <w:ind w:left="0"/>
              <w:jc w:val="center"/>
            </w:pPr>
            <w:r>
              <w:t>12</w:t>
            </w:r>
            <w:r w:rsidR="00986A52">
              <w:t>:</w:t>
            </w:r>
            <w:r>
              <w:t>00</w:t>
            </w:r>
            <w:r w:rsidR="00986A52">
              <w:t xml:space="preserve"> (</w:t>
            </w:r>
            <w:r>
              <w:t>noon</w:t>
            </w:r>
            <w:r w:rsidR="00986A52">
              <w:t>)</w:t>
            </w:r>
          </w:p>
        </w:tc>
        <w:tc>
          <w:tcPr>
            <w:tcW w:w="2335" w:type="dxa"/>
          </w:tcPr>
          <w:p w14:paraId="00DC60C0" w14:textId="11DDC294" w:rsidR="00986A52" w:rsidRDefault="00F33ECE" w:rsidP="002B5947">
            <w:pPr>
              <w:pStyle w:val="ListParagraph"/>
              <w:ind w:left="0"/>
              <w:jc w:val="center"/>
            </w:pPr>
            <w:r>
              <w:t>0</w:t>
            </w:r>
            <w:r w:rsidR="00CD29E4">
              <w:t>8</w:t>
            </w:r>
            <w:r>
              <w:t>:</w:t>
            </w:r>
            <w:r w:rsidR="00CD29E4">
              <w:t>00</w:t>
            </w:r>
          </w:p>
        </w:tc>
      </w:tr>
      <w:tr w:rsidR="00F33ECE" w14:paraId="00B4DF67" w14:textId="77777777" w:rsidTr="00D66CE7">
        <w:tc>
          <w:tcPr>
            <w:tcW w:w="1440" w:type="dxa"/>
          </w:tcPr>
          <w:p w14:paraId="1E6BD59F" w14:textId="77777777" w:rsidR="00986A52" w:rsidRDefault="00F33ECE" w:rsidP="002B5947">
            <w:pPr>
              <w:pStyle w:val="ListParagraph"/>
              <w:ind w:left="0"/>
              <w:jc w:val="center"/>
            </w:pPr>
            <w:r>
              <w:t>2</w:t>
            </w:r>
          </w:p>
        </w:tc>
        <w:tc>
          <w:tcPr>
            <w:tcW w:w="2340" w:type="dxa"/>
          </w:tcPr>
          <w:p w14:paraId="29EEEC2C" w14:textId="25AED167" w:rsidR="00986A52" w:rsidRDefault="00CD29E4" w:rsidP="002B5947">
            <w:pPr>
              <w:pStyle w:val="ListParagraph"/>
              <w:ind w:left="0"/>
              <w:jc w:val="center"/>
            </w:pPr>
            <w:r>
              <w:t>12:00 (noon)</w:t>
            </w:r>
          </w:p>
        </w:tc>
        <w:tc>
          <w:tcPr>
            <w:tcW w:w="2340" w:type="dxa"/>
          </w:tcPr>
          <w:p w14:paraId="4DE7270B" w14:textId="3E10A3A6" w:rsidR="00986A52" w:rsidRDefault="00CD29E4" w:rsidP="002B5947">
            <w:pPr>
              <w:pStyle w:val="ListParagraph"/>
              <w:ind w:left="0"/>
              <w:jc w:val="center"/>
            </w:pPr>
            <w:r>
              <w:t>20:00</w:t>
            </w:r>
            <w:r w:rsidR="00986A52">
              <w:t xml:space="preserve"> (</w:t>
            </w:r>
            <w:r>
              <w:t>8:00</w:t>
            </w:r>
            <w:r w:rsidR="00986A52">
              <w:t xml:space="preserve"> p.m.)</w:t>
            </w:r>
          </w:p>
        </w:tc>
        <w:tc>
          <w:tcPr>
            <w:tcW w:w="2335" w:type="dxa"/>
          </w:tcPr>
          <w:p w14:paraId="37D1A507" w14:textId="5BB5ACCD" w:rsidR="00986A52" w:rsidRDefault="00F33ECE" w:rsidP="002B5947">
            <w:pPr>
              <w:pStyle w:val="ListParagraph"/>
              <w:ind w:left="0"/>
              <w:jc w:val="center"/>
            </w:pPr>
            <w:r>
              <w:t>0</w:t>
            </w:r>
            <w:r w:rsidR="00CD29E4">
              <w:t>8</w:t>
            </w:r>
            <w:r>
              <w:t>:</w:t>
            </w:r>
            <w:r w:rsidR="00CD29E4">
              <w:t>00</w:t>
            </w:r>
          </w:p>
        </w:tc>
      </w:tr>
      <w:tr w:rsidR="00F33ECE" w14:paraId="446292FE" w14:textId="77777777" w:rsidTr="00D66CE7">
        <w:tc>
          <w:tcPr>
            <w:tcW w:w="1440" w:type="dxa"/>
          </w:tcPr>
          <w:p w14:paraId="35EB2E70" w14:textId="77777777" w:rsidR="00986A52" w:rsidRDefault="00F33ECE" w:rsidP="002B5947">
            <w:pPr>
              <w:pStyle w:val="ListParagraph"/>
              <w:ind w:left="0"/>
              <w:jc w:val="center"/>
            </w:pPr>
            <w:r>
              <w:t>3</w:t>
            </w:r>
          </w:p>
        </w:tc>
        <w:tc>
          <w:tcPr>
            <w:tcW w:w="2340" w:type="dxa"/>
          </w:tcPr>
          <w:p w14:paraId="1A614520" w14:textId="55E8F3B6" w:rsidR="00986A52" w:rsidRDefault="00CD29E4" w:rsidP="002B5947">
            <w:pPr>
              <w:pStyle w:val="ListParagraph"/>
              <w:ind w:left="0"/>
              <w:jc w:val="center"/>
            </w:pPr>
            <w:r>
              <w:t>20:00 (8:00 p.m.)</w:t>
            </w:r>
          </w:p>
        </w:tc>
        <w:tc>
          <w:tcPr>
            <w:tcW w:w="2340" w:type="dxa"/>
          </w:tcPr>
          <w:p w14:paraId="20A591AD" w14:textId="6E5937FE" w:rsidR="00986A52" w:rsidRDefault="00CD29E4" w:rsidP="002B5947">
            <w:pPr>
              <w:pStyle w:val="ListParagraph"/>
              <w:ind w:left="0"/>
              <w:jc w:val="center"/>
            </w:pPr>
            <w:r>
              <w:t>04:00</w:t>
            </w:r>
          </w:p>
        </w:tc>
        <w:tc>
          <w:tcPr>
            <w:tcW w:w="2335" w:type="dxa"/>
          </w:tcPr>
          <w:p w14:paraId="0AD26468" w14:textId="5CA45261" w:rsidR="00986A52" w:rsidRDefault="00F33ECE" w:rsidP="002B5947">
            <w:pPr>
              <w:pStyle w:val="ListParagraph"/>
              <w:ind w:left="0"/>
              <w:jc w:val="center"/>
            </w:pPr>
            <w:r>
              <w:t>0</w:t>
            </w:r>
            <w:r w:rsidR="00CD29E4">
              <w:t>8</w:t>
            </w:r>
            <w:r>
              <w:t>:</w:t>
            </w:r>
            <w:r w:rsidR="00CD29E4">
              <w:t>00</w:t>
            </w:r>
          </w:p>
        </w:tc>
      </w:tr>
    </w:tbl>
    <w:p w14:paraId="14ADF05E" w14:textId="77777777" w:rsidR="00986A52" w:rsidRDefault="00986A52" w:rsidP="002B5947">
      <w:pPr>
        <w:pStyle w:val="ListParagraph"/>
        <w:ind w:left="1440"/>
        <w:jc w:val="center"/>
      </w:pPr>
    </w:p>
    <w:p w14:paraId="6FEB14AC" w14:textId="15EEBF3A" w:rsidR="00704E26" w:rsidRDefault="00704E26" w:rsidP="002F0EC1">
      <w:pPr>
        <w:pStyle w:val="ListParagraph"/>
        <w:numPr>
          <w:ilvl w:val="2"/>
          <w:numId w:val="9"/>
        </w:numPr>
        <w:spacing w:after="120"/>
        <w:ind w:left="1620" w:hanging="187"/>
        <w:contextualSpacing w:val="0"/>
      </w:pPr>
      <w:r>
        <w:t>Leak Check</w:t>
      </w:r>
      <w:r w:rsidR="009969F2">
        <w:t xml:space="preserve">:  If </w:t>
      </w:r>
      <w:r w:rsidR="008C1ECB">
        <w:t xml:space="preserve">the sampling unit is so </w:t>
      </w:r>
      <w:r w:rsidR="009969F2">
        <w:t xml:space="preserve">equipped, </w:t>
      </w:r>
      <w:r w:rsidR="00A4577E">
        <w:t>a</w:t>
      </w:r>
      <w:r w:rsidR="009969F2">
        <w:t xml:space="preserve"> leak check routine is </w:t>
      </w:r>
      <w:r w:rsidR="00986A52">
        <w:t xml:space="preserve">to be run once cartridges are installed to verify </w:t>
      </w:r>
      <w:r w:rsidR="00F33ECE">
        <w:t xml:space="preserve">that </w:t>
      </w:r>
      <w:r w:rsidR="00986A52">
        <w:t xml:space="preserve">the </w:t>
      </w:r>
      <w:r w:rsidR="00F33ECE">
        <w:t xml:space="preserve">internal </w:t>
      </w:r>
      <w:r w:rsidR="00D66CE7">
        <w:t>instrument flow path</w:t>
      </w:r>
      <w:r w:rsidR="00F33ECE">
        <w:t xml:space="preserve"> and cartridge connections are leak-free </w:t>
      </w:r>
      <w:r w:rsidR="008C1ECB">
        <w:t xml:space="preserve">prior to the site operator departing the site </w:t>
      </w:r>
      <w:r w:rsidR="00F33ECE">
        <w:t xml:space="preserve">(note that the </w:t>
      </w:r>
      <w:r w:rsidR="00836C9A">
        <w:t xml:space="preserve">Tisch </w:t>
      </w:r>
      <w:r w:rsidR="00F33ECE">
        <w:t>TE-423 does not have a</w:t>
      </w:r>
      <w:r w:rsidR="00D66CE7">
        <w:t xml:space="preserve"> built-in</w:t>
      </w:r>
      <w:r w:rsidR="00F33ECE">
        <w:t xml:space="preserve"> leak check </w:t>
      </w:r>
      <w:r w:rsidR="008C1ECB">
        <w:t>routine</w:t>
      </w:r>
      <w:r w:rsidR="00F33ECE">
        <w:t>).  If leak check fails</w:t>
      </w:r>
      <w:r w:rsidR="008C1ECB">
        <w:t xml:space="preserve"> (the default leak check acceptance criterion for ATEC 8000-series sampling units is &lt; 0.03 L/minute flow – this criterion is user adjustable)</w:t>
      </w:r>
      <w:r w:rsidR="00F33ECE">
        <w:t xml:space="preserve">, recheck cartridge connections for </w:t>
      </w:r>
      <w:r w:rsidR="00D66CE7">
        <w:t>tightness, tubing cracks, and loose fittings</w:t>
      </w:r>
      <w:r w:rsidR="00F33ECE">
        <w:t>.</w:t>
      </w:r>
      <w:r w:rsidR="00D66CE7">
        <w:t xml:space="preserve"> </w:t>
      </w:r>
      <w:r w:rsidR="00F33ECE">
        <w:t xml:space="preserve"> Inspect cartridges to ensure there are not cracks in the cartridge housing which could cause a leak.</w:t>
      </w:r>
      <w:r w:rsidR="0022222C">
        <w:t xml:space="preserve">  </w:t>
      </w:r>
      <w:r w:rsidR="008C1ECB">
        <w:t xml:space="preserve">If necessary, install cartridges on alternative channels </w:t>
      </w:r>
      <w:r w:rsidR="002F0EC1">
        <w:t xml:space="preserve">that do not exhibit leaks.  </w:t>
      </w:r>
      <w:r w:rsidR="00D66CE7">
        <w:t xml:space="preserve">Repeated leak check failures following corrective steps may indicate a tubing failure inside the sampling unit </w:t>
      </w:r>
      <w:r w:rsidR="009E372E">
        <w:t>su</w:t>
      </w:r>
      <w:r w:rsidR="00D66CE7">
        <w:t xml:space="preserve">ch </w:t>
      </w:r>
      <w:r w:rsidR="009E372E">
        <w:t xml:space="preserve">as </w:t>
      </w:r>
      <w:r w:rsidR="00D66CE7">
        <w:t xml:space="preserve">may occur due to </w:t>
      </w:r>
      <w:r w:rsidR="009E372E">
        <w:t xml:space="preserve">holes in tubing caused by vibration of </w:t>
      </w:r>
      <w:r w:rsidR="00D66CE7">
        <w:t>tubing against an interior component.</w:t>
      </w:r>
      <w:r w:rsidR="008C1ECB" w:rsidRPr="008C1ECB">
        <w:t xml:space="preserve"> </w:t>
      </w:r>
      <w:r w:rsidR="008C1ECB">
        <w:t xml:space="preserve"> Document the leak check outcome on the sample collection form.  The ATEC 8000-series sampling units automatically perform a leak check on each sample channel programmed for sample collection during the first 30 seconds of the collection and will flag samples that exceed </w:t>
      </w:r>
      <w:r w:rsidR="00FE48F7">
        <w:t xml:space="preserve">the </w:t>
      </w:r>
      <w:r w:rsidR="008C1ECB">
        <w:t>factory default criteri</w:t>
      </w:r>
      <w:r w:rsidR="00FE48F7">
        <w:t>on</w:t>
      </w:r>
      <w:r w:rsidR="008C1ECB">
        <w:t>.</w:t>
      </w:r>
      <w:r w:rsidR="008C1ECB" w:rsidRPr="008C1ECB">
        <w:rPr>
          <w:vertAlign w:val="superscript"/>
        </w:rPr>
        <w:t>7</w:t>
      </w:r>
    </w:p>
    <w:p w14:paraId="2884F21D" w14:textId="2E0384EE" w:rsidR="00704E26" w:rsidRDefault="00F33ECE" w:rsidP="002F0EC1">
      <w:pPr>
        <w:pStyle w:val="ListParagraph"/>
        <w:numPr>
          <w:ilvl w:val="2"/>
          <w:numId w:val="9"/>
        </w:numPr>
        <w:spacing w:after="120"/>
        <w:ind w:left="1620" w:hanging="187"/>
        <w:contextualSpacing w:val="0"/>
      </w:pPr>
      <w:r>
        <w:t xml:space="preserve">Prior to </w:t>
      </w:r>
      <w:r w:rsidR="009E372E">
        <w:t>departing</w:t>
      </w:r>
      <w:r>
        <w:t xml:space="preserve"> the monitoring </w:t>
      </w:r>
      <w:r w:rsidR="009E372E">
        <w:t>site</w:t>
      </w:r>
      <w:r>
        <w:t xml:space="preserve">, </w:t>
      </w:r>
      <w:r w:rsidR="002D4D34">
        <w:t>verify</w:t>
      </w:r>
      <w:r>
        <w:t xml:space="preserve"> the </w:t>
      </w:r>
      <w:r w:rsidR="00B034C2">
        <w:t xml:space="preserve">instrumental </w:t>
      </w:r>
      <w:r w:rsidR="002D4D34">
        <w:t xml:space="preserve">sampling program is correct and the </w:t>
      </w:r>
      <w:r w:rsidR="00B034C2">
        <w:t xml:space="preserve">instrumental sampling </w:t>
      </w:r>
      <w:r w:rsidR="002D4D34">
        <w:t xml:space="preserve">program </w:t>
      </w:r>
      <w:r w:rsidR="00D66CE7">
        <w:t xml:space="preserve">is </w:t>
      </w:r>
      <w:r w:rsidR="002D4D34">
        <w:t>enabled.</w:t>
      </w:r>
    </w:p>
    <w:p w14:paraId="0F48FE1B" w14:textId="77777777" w:rsidR="002D4D34" w:rsidRDefault="00E058F3" w:rsidP="009A00C8">
      <w:pPr>
        <w:pStyle w:val="ListParagraph"/>
        <w:numPr>
          <w:ilvl w:val="1"/>
          <w:numId w:val="9"/>
        </w:numPr>
        <w:spacing w:after="120"/>
        <w:ind w:left="720"/>
        <w:contextualSpacing w:val="0"/>
      </w:pPr>
      <w:r>
        <w:t>Sample R</w:t>
      </w:r>
      <w:r w:rsidR="00A36487">
        <w:t>etrieval</w:t>
      </w:r>
    </w:p>
    <w:p w14:paraId="7E4914CA" w14:textId="2923A76A" w:rsidR="00A36487" w:rsidRDefault="00A36487" w:rsidP="002F0EC1">
      <w:pPr>
        <w:pStyle w:val="ListParagraph"/>
        <w:numPr>
          <w:ilvl w:val="2"/>
          <w:numId w:val="9"/>
        </w:numPr>
        <w:spacing w:after="120"/>
        <w:ind w:left="1620"/>
        <w:contextualSpacing w:val="0"/>
      </w:pPr>
      <w:r>
        <w:t xml:space="preserve">Cartridges are to be retrieved </w:t>
      </w:r>
      <w:r w:rsidR="00D66CE7">
        <w:t xml:space="preserve">ideally </w:t>
      </w:r>
      <w:r>
        <w:t xml:space="preserve">within 48 hours </w:t>
      </w:r>
      <w:r w:rsidR="00D66CE7">
        <w:t xml:space="preserve">(not to exceed 72 hours) </w:t>
      </w:r>
      <w:r>
        <w:t xml:space="preserve">of the completion of collection of the </w:t>
      </w:r>
      <w:r w:rsidR="009E372E">
        <w:t>third</w:t>
      </w:r>
      <w:r>
        <w:t xml:space="preserve"> (</w:t>
      </w:r>
      <w:r w:rsidR="00D66CE7">
        <w:t>20</w:t>
      </w:r>
      <w:r>
        <w:t xml:space="preserve">:00 to </w:t>
      </w:r>
      <w:r w:rsidR="00D66CE7">
        <w:t>04:00</w:t>
      </w:r>
      <w:r>
        <w:t xml:space="preserve">) </w:t>
      </w:r>
      <w:r>
        <w:lastRenderedPageBreak/>
        <w:t xml:space="preserve">sequential sample.  </w:t>
      </w:r>
      <w:r w:rsidR="00F01B9F">
        <w:t>[</w:t>
      </w:r>
      <w:r>
        <w:t>Note that for sampling unit</w:t>
      </w:r>
      <w:r w:rsidR="00DC3ED4">
        <w:t xml:space="preserve">s with </w:t>
      </w:r>
      <w:r w:rsidR="009E372E">
        <w:t xml:space="preserve">only </w:t>
      </w:r>
      <w:r w:rsidR="00DC3ED4">
        <w:t>3 sampling channels</w:t>
      </w:r>
      <w:r w:rsidR="00F01B9F">
        <w:t xml:space="preserve">, </w:t>
      </w:r>
      <w:r w:rsidR="009119D6">
        <w:t>retrieval</w:t>
      </w:r>
      <w:r w:rsidR="00F01B9F">
        <w:t xml:space="preserve"> </w:t>
      </w:r>
      <w:r w:rsidR="009E372E">
        <w:t xml:space="preserve">before </w:t>
      </w:r>
      <w:r w:rsidR="0032693A">
        <w:t>48</w:t>
      </w:r>
      <w:r w:rsidR="009E372E">
        <w:t xml:space="preserve"> hours </w:t>
      </w:r>
      <w:r w:rsidR="0032693A">
        <w:t xml:space="preserve">from the end of collection completion </w:t>
      </w:r>
      <w:r w:rsidR="009E372E">
        <w:t xml:space="preserve">is </w:t>
      </w:r>
      <w:r w:rsidR="00F01B9F">
        <w:t>necessary to ready the sampling unit for the next sampling event.]</w:t>
      </w:r>
    </w:p>
    <w:p w14:paraId="54AF986C" w14:textId="47D09C01" w:rsidR="00A36487" w:rsidRDefault="00A36487" w:rsidP="002F0EC1">
      <w:pPr>
        <w:pStyle w:val="ListParagraph"/>
        <w:numPr>
          <w:ilvl w:val="2"/>
          <w:numId w:val="9"/>
        </w:numPr>
        <w:spacing w:after="120"/>
        <w:ind w:left="1620"/>
        <w:contextualSpacing w:val="0"/>
      </w:pPr>
      <w:r>
        <w:t>Site operators should ensure that there is immediate refrigerated storage available when retrieving samples.  Onsite refrigerators must maintain temperatures of ≤</w:t>
      </w:r>
      <w:r w:rsidR="009A00C8">
        <w:t xml:space="preserve"> </w:t>
      </w:r>
      <w:r>
        <w:t>4°C.  If an onsite refrigeration unit is not available, site operators must utilize a cooler with cold freezer packs in which to store and transport samples.</w:t>
      </w:r>
      <w:r w:rsidR="00D34A5B" w:rsidRPr="00D34A5B">
        <w:t xml:space="preserve"> A best practice to minimize contamination is to transport the sealed foil pouch</w:t>
      </w:r>
      <w:r w:rsidR="003A683F">
        <w:t xml:space="preserve"> within a</w:t>
      </w:r>
      <w:r w:rsidR="00D34A5B" w:rsidRPr="00D34A5B">
        <w:t xml:space="preserve"> zip</w:t>
      </w:r>
      <w:r w:rsidR="003A683F">
        <w:t>per</w:t>
      </w:r>
      <w:r w:rsidR="00D34A5B" w:rsidRPr="00D34A5B">
        <w:t>-lock</w:t>
      </w:r>
      <w:r w:rsidR="0032693A">
        <w:t xml:space="preserve"> plastic</w:t>
      </w:r>
      <w:r w:rsidR="00D34A5B" w:rsidRPr="00D34A5B">
        <w:t xml:space="preserve"> bag containing </w:t>
      </w:r>
      <w:r w:rsidR="001133AD">
        <w:t xml:space="preserve">approximately 0.5 to 2 grams of </w:t>
      </w:r>
      <w:r w:rsidR="00D34A5B" w:rsidRPr="00D34A5B">
        <w:t>activated carbon</w:t>
      </w:r>
      <w:r w:rsidR="003A683F">
        <w:t>, which will absorb contaminants.</w:t>
      </w:r>
    </w:p>
    <w:p w14:paraId="6F7737A1" w14:textId="6F4828A2" w:rsidR="00A36487" w:rsidRDefault="00A36487" w:rsidP="002F0EC1">
      <w:pPr>
        <w:pStyle w:val="ListParagraph"/>
        <w:numPr>
          <w:ilvl w:val="2"/>
          <w:numId w:val="9"/>
        </w:numPr>
        <w:spacing w:after="120"/>
        <w:ind w:left="1620"/>
        <w:contextualSpacing w:val="0"/>
      </w:pPr>
      <w:r>
        <w:t xml:space="preserve">Prior to retrieving samples from the sampling unit, review the </w:t>
      </w:r>
      <w:r w:rsidR="00B030F0">
        <w:t xml:space="preserve">recorded </w:t>
      </w:r>
      <w:r>
        <w:t xml:space="preserve">sample collection data from the sampling unit display to ensure that sampling occurred </w:t>
      </w:r>
      <w:r w:rsidR="003A683F">
        <w:t xml:space="preserve">according to the intended </w:t>
      </w:r>
      <w:r>
        <w:t>program.  Record any discrepancies (e.g. low flow conditions, power failures, leak check failures, etc.</w:t>
      </w:r>
      <w:r w:rsidR="00B030F0">
        <w:t>, as indicated by flags or error messages</w:t>
      </w:r>
      <w:r>
        <w:t>) on the sample collection form.</w:t>
      </w:r>
      <w:r w:rsidR="002F63F5">
        <w:t xml:space="preserve">  For </w:t>
      </w:r>
      <w:r w:rsidR="003A683F">
        <w:t xml:space="preserve">sampling units so equipped (e.g., </w:t>
      </w:r>
      <w:r w:rsidR="002F63F5">
        <w:t>ATEC 8000-series sampling units</w:t>
      </w:r>
      <w:r w:rsidR="003A683F">
        <w:t>)</w:t>
      </w:r>
      <w:r w:rsidR="002F63F5">
        <w:t xml:space="preserve">, it is highly recommended to </w:t>
      </w:r>
      <w:r w:rsidR="00B030F0">
        <w:t>transfer</w:t>
      </w:r>
      <w:r w:rsidR="002F63F5">
        <w:t xml:space="preserve"> </w:t>
      </w:r>
      <w:r w:rsidR="00B030F0">
        <w:t xml:space="preserve">sample collection </w:t>
      </w:r>
      <w:r w:rsidR="002F63F5">
        <w:t>data to a</w:t>
      </w:r>
      <w:r w:rsidR="003A683F">
        <w:t>n external</w:t>
      </w:r>
      <w:r w:rsidR="002F63F5">
        <w:t xml:space="preserve"> drive </w:t>
      </w:r>
      <w:r w:rsidR="00B030F0">
        <w:t>for</w:t>
      </w:r>
      <w:r w:rsidR="002F63F5">
        <w:t xml:space="preserve"> later review</w:t>
      </w:r>
      <w:r w:rsidR="00B030F0">
        <w:t xml:space="preserve"> and archive</w:t>
      </w:r>
      <w:r w:rsidR="002F63F5">
        <w:t>.</w:t>
      </w:r>
    </w:p>
    <w:p w14:paraId="4B9E17DE" w14:textId="53D4E45A" w:rsidR="00A36487" w:rsidRDefault="002F63F5" w:rsidP="002F0EC1">
      <w:pPr>
        <w:pStyle w:val="ListParagraph"/>
        <w:numPr>
          <w:ilvl w:val="2"/>
          <w:numId w:val="9"/>
        </w:numPr>
        <w:spacing w:after="120"/>
        <w:ind w:left="1620"/>
        <w:contextualSpacing w:val="0"/>
      </w:pPr>
      <w:r>
        <w:t>Record</w:t>
      </w:r>
      <w:r w:rsidR="00A36487">
        <w:t xml:space="preserve"> the sample collection information </w:t>
      </w:r>
      <w:r>
        <w:t xml:space="preserve">from the </w:t>
      </w:r>
      <w:r w:rsidR="003A683F">
        <w:t xml:space="preserve">sampling unit display </w:t>
      </w:r>
      <w:r w:rsidR="00A36487">
        <w:t xml:space="preserve">on the field data </w:t>
      </w:r>
      <w:r>
        <w:t xml:space="preserve">collection </w:t>
      </w:r>
      <w:r w:rsidR="00A36487">
        <w:t xml:space="preserve">form.  Wearing clean </w:t>
      </w:r>
      <w:r w:rsidR="003A683F">
        <w:t xml:space="preserve">powder-free </w:t>
      </w:r>
      <w:r w:rsidR="00A36487">
        <w:t xml:space="preserve">gloves, retrieve each sample cartridge individually, install the cartridge caps, seal the capped cartridge in the </w:t>
      </w:r>
      <w:r w:rsidR="00B030F0">
        <w:t xml:space="preserve">associated </w:t>
      </w:r>
      <w:r w:rsidR="00A36487">
        <w:t>foil pouch, and plac</w:t>
      </w:r>
      <w:r w:rsidR="00B030F0">
        <w:t>e</w:t>
      </w:r>
      <w:r w:rsidR="00A36487">
        <w:t xml:space="preserve"> the cartridge in refrigerated storage.  </w:t>
      </w:r>
      <w:r w:rsidR="003A683F">
        <w:t>On the sample collection form or COC form, r</w:t>
      </w:r>
      <w:r w:rsidR="00A36487">
        <w:t>ecord the date and time each cartridge was retrieved from the sampling unit.</w:t>
      </w:r>
    </w:p>
    <w:p w14:paraId="29493FBE" w14:textId="3DD83591" w:rsidR="008C265A" w:rsidRDefault="008C265A" w:rsidP="002F0EC1">
      <w:pPr>
        <w:pStyle w:val="ListParagraph"/>
        <w:numPr>
          <w:ilvl w:val="2"/>
          <w:numId w:val="9"/>
        </w:numPr>
        <w:spacing w:after="120"/>
        <w:ind w:left="1620"/>
        <w:contextualSpacing w:val="0"/>
      </w:pPr>
      <w:r>
        <w:t xml:space="preserve">Transfer collected samples, sample collection forms, and associated COC forms to the laboratory, maintaining the collected samples at refrigerated temperatures.  </w:t>
      </w:r>
      <w:r w:rsidR="00087188">
        <w:t xml:space="preserve">The laboratory has 14 days to extract the samples from the end of sample collection, therefore samples should be dispatched to the laboratory as soon as possible to provide </w:t>
      </w:r>
      <w:proofErr w:type="gramStart"/>
      <w:r w:rsidR="00087188">
        <w:t>sufficient</w:t>
      </w:r>
      <w:proofErr w:type="gramEnd"/>
      <w:r w:rsidR="00087188">
        <w:t xml:space="preserve"> time to extract the samples.  </w:t>
      </w:r>
      <w:r w:rsidR="00661CC3">
        <w:t xml:space="preserve">If a shipping courier is employed for sample transport, overnight air shipments are recommended to ensure sample temperatures remain refrigerated upon receipt at the laboratory.  Pack </w:t>
      </w:r>
      <w:proofErr w:type="gramStart"/>
      <w:r w:rsidR="00661CC3">
        <w:t>sufficient</w:t>
      </w:r>
      <w:proofErr w:type="gramEnd"/>
      <w:r w:rsidR="00661CC3">
        <w:t xml:space="preserve"> freezer packs and/or ice to ensure sufficient cooling capacity during shipment.</w:t>
      </w:r>
    </w:p>
    <w:p w14:paraId="0B068D92" w14:textId="77777777" w:rsidR="0089490E" w:rsidRDefault="0089490E" w:rsidP="000B2054"/>
    <w:p w14:paraId="1571DF6D" w14:textId="77777777" w:rsidR="00E80AA0" w:rsidRPr="009F6232" w:rsidRDefault="00E80AA0" w:rsidP="009A00C8">
      <w:pPr>
        <w:pStyle w:val="ListParagraph"/>
        <w:numPr>
          <w:ilvl w:val="0"/>
          <w:numId w:val="9"/>
        </w:numPr>
        <w:ind w:left="360"/>
        <w:rPr>
          <w:b/>
        </w:rPr>
      </w:pPr>
      <w:r w:rsidRPr="009F6232">
        <w:rPr>
          <w:b/>
        </w:rPr>
        <w:t>CALCULATIONS AND DATA REPORTING</w:t>
      </w:r>
    </w:p>
    <w:p w14:paraId="4C9513B7" w14:textId="77777777" w:rsidR="000B2054" w:rsidRDefault="000B2054" w:rsidP="000B2054"/>
    <w:p w14:paraId="0E223963" w14:textId="77777777" w:rsidR="00215E06" w:rsidRDefault="00F256FB" w:rsidP="009A00C8">
      <w:pPr>
        <w:pStyle w:val="ListParagraph"/>
        <w:numPr>
          <w:ilvl w:val="1"/>
          <w:numId w:val="9"/>
        </w:numPr>
        <w:ind w:left="720"/>
      </w:pPr>
      <w:r>
        <w:t>Total Collected Sample V</w:t>
      </w:r>
      <w:r w:rsidR="00215E06">
        <w:t>olume</w:t>
      </w:r>
    </w:p>
    <w:p w14:paraId="52003FA3" w14:textId="77777777" w:rsidR="00215E06" w:rsidRDefault="00215E06" w:rsidP="009A00C8">
      <w:pPr>
        <w:pStyle w:val="ListParagraph"/>
      </w:pPr>
    </w:p>
    <w:p w14:paraId="6E9644A7" w14:textId="725AA20E" w:rsidR="009307D7" w:rsidRDefault="009307D7" w:rsidP="009A00C8">
      <w:pPr>
        <w:pStyle w:val="ListParagraph"/>
      </w:pPr>
      <w:r>
        <w:t>The total collected sample</w:t>
      </w:r>
      <w:r w:rsidR="003A683F">
        <w:t xml:space="preserve">d </w:t>
      </w:r>
      <w:r w:rsidR="00B030F0">
        <w:t xml:space="preserve">standard conditions </w:t>
      </w:r>
      <w:r w:rsidR="003A683F">
        <w:t>air</w:t>
      </w:r>
      <w:r>
        <w:t xml:space="preserve"> volume may be </w:t>
      </w:r>
      <w:r w:rsidR="003A683F">
        <w:t xml:space="preserve">accessible from </w:t>
      </w:r>
      <w:r>
        <w:t xml:space="preserve">the sampling unit </w:t>
      </w:r>
      <w:r w:rsidR="003A683F">
        <w:t>during</w:t>
      </w:r>
      <w:r>
        <w:t xml:space="preserve"> sample retrieval and is equal to the total sampling </w:t>
      </w:r>
      <w:r>
        <w:lastRenderedPageBreak/>
        <w:t xml:space="preserve">duration </w:t>
      </w:r>
      <w:r w:rsidR="003A683F">
        <w:t xml:space="preserve">for the cartridge </w:t>
      </w:r>
      <w:r>
        <w:t>multiplied by the average flow rate for the sample duration as follows:</w:t>
      </w:r>
    </w:p>
    <w:p w14:paraId="15D49EDA" w14:textId="77777777" w:rsidR="009307D7" w:rsidRDefault="009307D7" w:rsidP="009119D6"/>
    <w:p w14:paraId="18DEBF21" w14:textId="77777777" w:rsidR="009307D7" w:rsidRDefault="00104250" w:rsidP="009A00C8">
      <w:pPr>
        <w:ind w:left="720"/>
      </w:pPr>
      <m:oMathPara>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avg</m:t>
              </m:r>
            </m:sub>
          </m:sSub>
        </m:oMath>
      </m:oMathPara>
    </w:p>
    <w:p w14:paraId="4112CB7E" w14:textId="77777777" w:rsidR="003A683F" w:rsidRDefault="003A683F" w:rsidP="009A00C8">
      <w:pPr>
        <w:pStyle w:val="ListParagraph"/>
      </w:pPr>
    </w:p>
    <w:p w14:paraId="6BE6E208" w14:textId="77777777" w:rsidR="00FE48F7" w:rsidRDefault="009307D7" w:rsidP="009A00C8">
      <w:pPr>
        <w:pStyle w:val="ListParagraph"/>
      </w:pPr>
      <w:r>
        <w:t>Where:</w:t>
      </w:r>
      <w:r>
        <w:tab/>
        <w:t xml:space="preserve"> </w:t>
      </w:r>
    </w:p>
    <w:p w14:paraId="0BE95804" w14:textId="23B5651D" w:rsidR="009307D7" w:rsidRDefault="009307D7" w:rsidP="00FE48F7">
      <w:pPr>
        <w:pStyle w:val="ListParagraph"/>
        <w:ind w:left="1980" w:hanging="540"/>
      </w:pPr>
      <w:proofErr w:type="gramStart"/>
      <w:r w:rsidRPr="009307D7">
        <w:rPr>
          <w:i/>
        </w:rPr>
        <w:t>V</w:t>
      </w:r>
      <w:r w:rsidRPr="009307D7">
        <w:rPr>
          <w:i/>
          <w:vertAlign w:val="subscript"/>
        </w:rPr>
        <w:t>s</w:t>
      </w:r>
      <w:r>
        <w:t xml:space="preserve"> </w:t>
      </w:r>
      <w:r w:rsidR="00FE48F7">
        <w:t xml:space="preserve"> </w:t>
      </w:r>
      <w:r>
        <w:t>=</w:t>
      </w:r>
      <w:proofErr w:type="gramEnd"/>
      <w:r w:rsidR="00FE48F7">
        <w:tab/>
      </w:r>
      <w:r w:rsidR="00FE48F7">
        <w:tab/>
      </w:r>
      <w:r>
        <w:t>sample</w:t>
      </w:r>
      <w:r w:rsidR="005153F8">
        <w:t>d air</w:t>
      </w:r>
      <w:r>
        <w:t xml:space="preserve"> volume</w:t>
      </w:r>
      <w:r w:rsidR="00FA73E0">
        <w:t xml:space="preserve"> at standard conditions</w:t>
      </w:r>
      <w:r>
        <w:t xml:space="preserve"> (L)</w:t>
      </w:r>
    </w:p>
    <w:p w14:paraId="11E243F5" w14:textId="00F4D66A" w:rsidR="009307D7" w:rsidRDefault="009307D7" w:rsidP="00FE48F7">
      <w:pPr>
        <w:pStyle w:val="ListParagraph"/>
        <w:ind w:left="1980" w:hanging="540"/>
      </w:pPr>
      <w:r w:rsidRPr="009307D7">
        <w:rPr>
          <w:i/>
        </w:rPr>
        <w:t>D</w:t>
      </w:r>
      <w:r w:rsidRPr="009307D7">
        <w:rPr>
          <w:i/>
          <w:vertAlign w:val="subscript"/>
        </w:rPr>
        <w:t>s</w:t>
      </w:r>
      <w:r w:rsidR="00FE48F7">
        <w:t xml:space="preserve"> </w:t>
      </w:r>
      <w:r>
        <w:t>=</w:t>
      </w:r>
      <w:r w:rsidR="00FE48F7">
        <w:tab/>
      </w:r>
      <w:r w:rsidR="00FE48F7">
        <w:tab/>
      </w:r>
      <w:r>
        <w:t>sample duration (minutes)</w:t>
      </w:r>
    </w:p>
    <w:p w14:paraId="3055D1D1" w14:textId="6AB4B121" w:rsidR="009307D7" w:rsidRDefault="009307D7" w:rsidP="00FE48F7">
      <w:pPr>
        <w:ind w:left="2160" w:hanging="720"/>
      </w:pPr>
      <w:proofErr w:type="spellStart"/>
      <w:r w:rsidRPr="00FE48F7">
        <w:rPr>
          <w:i/>
        </w:rPr>
        <w:t>Q</w:t>
      </w:r>
      <w:r w:rsidRPr="00FE48F7">
        <w:rPr>
          <w:i/>
          <w:vertAlign w:val="subscript"/>
        </w:rPr>
        <w:t>avg</w:t>
      </w:r>
      <w:proofErr w:type="spellEnd"/>
      <w:r w:rsidR="00FE48F7">
        <w:t xml:space="preserve"> </w:t>
      </w:r>
      <w:r>
        <w:t>=</w:t>
      </w:r>
      <w:r w:rsidR="00FE48F7">
        <w:tab/>
      </w:r>
      <w:r>
        <w:t>average</w:t>
      </w:r>
      <w:r w:rsidR="00FE48F7">
        <w:t xml:space="preserve"> standard conditions</w:t>
      </w:r>
      <w:r>
        <w:t xml:space="preserve"> flow rate during sample collection</w:t>
      </w:r>
      <w:r w:rsidR="00FA73E0">
        <w:t xml:space="preserve"> </w:t>
      </w:r>
      <w:r>
        <w:t>(L/minute)</w:t>
      </w:r>
      <w:r w:rsidR="00661CC3">
        <w:br/>
      </w:r>
    </w:p>
    <w:p w14:paraId="42BC719D" w14:textId="77777777" w:rsidR="00215E06" w:rsidRDefault="00FA73E0" w:rsidP="009A00C8">
      <w:pPr>
        <w:pStyle w:val="ListParagraph"/>
        <w:numPr>
          <w:ilvl w:val="1"/>
          <w:numId w:val="9"/>
        </w:numPr>
        <w:ind w:left="720"/>
      </w:pPr>
      <w:bookmarkStart w:id="4" w:name="_Hlk494362186"/>
      <w:r>
        <w:t xml:space="preserve">Target </w:t>
      </w:r>
      <w:r w:rsidR="009A00C8">
        <w:t>Carbonyl Compound C</w:t>
      </w:r>
      <w:r w:rsidR="00215E06">
        <w:t>oncentration</w:t>
      </w:r>
      <w:r>
        <w:t xml:space="preserve">  </w:t>
      </w:r>
    </w:p>
    <w:p w14:paraId="525F6734" w14:textId="77777777" w:rsidR="00215E06" w:rsidRDefault="00215E06" w:rsidP="009A00C8">
      <w:pPr>
        <w:pStyle w:val="ListParagraph"/>
      </w:pPr>
    </w:p>
    <w:p w14:paraId="0C8AD42E" w14:textId="100C3885" w:rsidR="003A683F" w:rsidRDefault="00FA73E0" w:rsidP="009A00C8">
      <w:pPr>
        <w:pStyle w:val="ListParagraph"/>
      </w:pPr>
      <w:r>
        <w:t xml:space="preserve">Details for calculation of the carbonyl compound concentrations are described in the </w:t>
      </w:r>
      <w:r w:rsidR="003A683F">
        <w:t xml:space="preserve">associated </w:t>
      </w:r>
      <w:r>
        <w:t>carbonyls analysis SOP.  Briefly, measured carbonyls are normalized to the total sample</w:t>
      </w:r>
      <w:r w:rsidR="005153F8">
        <w:t xml:space="preserve">d </w:t>
      </w:r>
      <w:r w:rsidR="00B030F0">
        <w:t xml:space="preserve">standard conditions </w:t>
      </w:r>
      <w:r w:rsidR="005153F8">
        <w:t>air</w:t>
      </w:r>
      <w:r>
        <w:t xml:space="preserve"> volume and th</w:t>
      </w:r>
      <w:r w:rsidR="005153F8">
        <w:t>e</w:t>
      </w:r>
      <w:r>
        <w:t xml:space="preserve"> concentration</w:t>
      </w:r>
      <w:r w:rsidR="00B030F0">
        <w:t>s</w:t>
      </w:r>
      <w:r>
        <w:t xml:space="preserve"> reported as µg/m</w:t>
      </w:r>
      <w:r w:rsidRPr="00FA1F28">
        <w:rPr>
          <w:vertAlign w:val="superscript"/>
        </w:rPr>
        <w:t>3</w:t>
      </w:r>
      <w:r>
        <w:t xml:space="preserve">.  </w:t>
      </w:r>
    </w:p>
    <w:p w14:paraId="5D636DD1" w14:textId="77777777" w:rsidR="003A683F" w:rsidRDefault="003A683F" w:rsidP="009A00C8">
      <w:pPr>
        <w:pStyle w:val="ListParagraph"/>
      </w:pPr>
    </w:p>
    <w:p w14:paraId="3107278F" w14:textId="0039D2CD" w:rsidR="00FA73E0" w:rsidRDefault="00FA73E0" w:rsidP="009A00C8">
      <w:pPr>
        <w:pStyle w:val="ListParagraph"/>
      </w:pPr>
      <w:r>
        <w:t xml:space="preserve">Conversion to </w:t>
      </w:r>
      <w:proofErr w:type="spellStart"/>
      <w:r>
        <w:t>ppb</w:t>
      </w:r>
      <w:r w:rsidR="00B030F0">
        <w:t>v</w:t>
      </w:r>
      <w:proofErr w:type="spellEnd"/>
      <w:r>
        <w:t xml:space="preserve"> can be performed </w:t>
      </w:r>
      <w:r w:rsidR="00FE48F7">
        <w:t xml:space="preserve">by generation of </w:t>
      </w:r>
      <w:r w:rsidR="00F256FB">
        <w:t xml:space="preserve">reports </w:t>
      </w:r>
      <w:r w:rsidR="00FE48F7">
        <w:t xml:space="preserve">in </w:t>
      </w:r>
      <w:r>
        <w:t>AQS or by the following formula:</w:t>
      </w:r>
    </w:p>
    <w:p w14:paraId="7A85617A" w14:textId="77777777" w:rsidR="00FA73E0" w:rsidRDefault="00FA73E0" w:rsidP="009A00C8">
      <w:pPr>
        <w:pStyle w:val="ListParagraph"/>
      </w:pPr>
    </w:p>
    <w:p w14:paraId="69F97EED" w14:textId="31397C24" w:rsidR="00FA73E0" w:rsidRDefault="00104250" w:rsidP="009A00C8">
      <w:pPr>
        <w:pStyle w:val="ListParagraph"/>
      </w:pPr>
      <m:oMathPara>
        <m:oMath>
          <m:sSub>
            <m:sSubPr>
              <m:ctrlPr>
                <w:rPr>
                  <w:rFonts w:ascii="Cambria Math" w:hAnsi="Cambria Math"/>
                  <w:i/>
                </w:rPr>
              </m:ctrlPr>
            </m:sSubPr>
            <m:e>
              <m:r>
                <w:rPr>
                  <w:rFonts w:ascii="Cambria Math" w:hAnsi="Cambria Math"/>
                </w:rPr>
                <m:t>C</m:t>
              </m:r>
            </m:e>
            <m:sub>
              <m:r>
                <w:rPr>
                  <w:rFonts w:ascii="Cambria Math" w:hAnsi="Cambria Math"/>
                </w:rPr>
                <m:t>A ppbv</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A µg/m3 </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oMath>
      </m:oMathPara>
    </w:p>
    <w:p w14:paraId="238742CF" w14:textId="77777777" w:rsidR="00FA73E0" w:rsidRDefault="00FA73E0" w:rsidP="009A00C8">
      <w:pPr>
        <w:pStyle w:val="ListParagraph"/>
      </w:pPr>
    </w:p>
    <w:p w14:paraId="16E30222" w14:textId="1FC6C9AF" w:rsidR="00FE48F7" w:rsidRDefault="00C81FFE" w:rsidP="009A00C8">
      <w:pPr>
        <w:pStyle w:val="ListParagraph"/>
      </w:pPr>
      <w:r>
        <w:t>Where:</w:t>
      </w:r>
    </w:p>
    <w:p w14:paraId="28341485" w14:textId="77777777" w:rsidR="00FE48F7" w:rsidRDefault="00FE48F7" w:rsidP="009A00C8">
      <w:pPr>
        <w:pStyle w:val="ListParagraph"/>
      </w:pPr>
    </w:p>
    <w:p w14:paraId="171ACA94" w14:textId="698AA2D2" w:rsidR="00C81FFE" w:rsidRDefault="00C81FFE" w:rsidP="00FE48F7">
      <w:pPr>
        <w:ind w:left="2700" w:hanging="1260"/>
      </w:pPr>
      <w:proofErr w:type="spellStart"/>
      <w:proofErr w:type="gramStart"/>
      <w:r w:rsidRPr="00FE48F7">
        <w:rPr>
          <w:i/>
        </w:rPr>
        <w:t>C</w:t>
      </w:r>
      <w:r w:rsidRPr="00FE48F7">
        <w:rPr>
          <w:i/>
          <w:vertAlign w:val="subscript"/>
        </w:rPr>
        <w:t>Appb</w:t>
      </w:r>
      <w:r w:rsidR="005153F8" w:rsidRPr="00FE48F7">
        <w:rPr>
          <w:i/>
          <w:vertAlign w:val="subscript"/>
        </w:rPr>
        <w:t>v</w:t>
      </w:r>
      <w:proofErr w:type="spellEnd"/>
      <w:r w:rsidR="007E4D8B">
        <w:t xml:space="preserve"> </w:t>
      </w:r>
      <w:r w:rsidR="00FE48F7">
        <w:t xml:space="preserve"> </w:t>
      </w:r>
      <w:r>
        <w:t>=</w:t>
      </w:r>
      <w:proofErr w:type="gramEnd"/>
      <w:r>
        <w:t xml:space="preserve"> </w:t>
      </w:r>
      <w:r w:rsidR="007E4D8B">
        <w:tab/>
      </w:r>
      <w:r w:rsidR="003A683F">
        <w:t xml:space="preserve">molar </w:t>
      </w:r>
      <w:r>
        <w:t xml:space="preserve">concentration in </w:t>
      </w:r>
      <w:r w:rsidR="00215E06">
        <w:t>air at standard conditions (</w:t>
      </w:r>
      <w:proofErr w:type="spellStart"/>
      <w:r w:rsidR="00215E06">
        <w:t>ppb</w:t>
      </w:r>
      <w:r w:rsidR="003A683F">
        <w:t>v</w:t>
      </w:r>
      <w:proofErr w:type="spellEnd"/>
      <w:r>
        <w:t>)</w:t>
      </w:r>
    </w:p>
    <w:p w14:paraId="79DA5F43" w14:textId="06955318" w:rsidR="00C81FFE" w:rsidRDefault="00C81FFE" w:rsidP="00FE48F7">
      <w:pPr>
        <w:ind w:left="2700" w:hanging="1260"/>
      </w:pPr>
      <w:proofErr w:type="spellStart"/>
      <w:r w:rsidRPr="00FE48F7">
        <w:rPr>
          <w:i/>
        </w:rPr>
        <w:t>C</w:t>
      </w:r>
      <w:r w:rsidRPr="00FE48F7">
        <w:rPr>
          <w:i/>
          <w:vertAlign w:val="subscript"/>
        </w:rPr>
        <w:t>Aµg</w:t>
      </w:r>
      <w:proofErr w:type="spellEnd"/>
      <w:r w:rsidRPr="00FE48F7">
        <w:rPr>
          <w:i/>
          <w:vertAlign w:val="subscript"/>
        </w:rPr>
        <w:t>/m3</w:t>
      </w:r>
      <w:r w:rsidR="00FE48F7">
        <w:rPr>
          <w:i/>
          <w:vertAlign w:val="subscript"/>
        </w:rPr>
        <w:t xml:space="preserve"> </w:t>
      </w:r>
      <w:r>
        <w:t xml:space="preserve">= </w:t>
      </w:r>
      <w:r w:rsidR="007E4D8B">
        <w:tab/>
      </w:r>
      <w:r w:rsidR="003A683F">
        <w:t xml:space="preserve">mass </w:t>
      </w:r>
      <w:r>
        <w:t>concentration in air at standard conditions (µg/m</w:t>
      </w:r>
      <w:r w:rsidRPr="00FE48F7">
        <w:rPr>
          <w:vertAlign w:val="superscript"/>
        </w:rPr>
        <w:t>3</w:t>
      </w:r>
      <w:r>
        <w:t>)</w:t>
      </w:r>
    </w:p>
    <w:p w14:paraId="498582D4" w14:textId="1BE58C51" w:rsidR="007E4D8B" w:rsidRPr="007E4D8B" w:rsidRDefault="007E4D8B" w:rsidP="00FE48F7">
      <w:pPr>
        <w:tabs>
          <w:tab w:val="left" w:pos="2160"/>
        </w:tabs>
        <w:ind w:left="2700" w:hanging="1260"/>
      </w:pPr>
      <w:proofErr w:type="spellStart"/>
      <w:proofErr w:type="gramStart"/>
      <w:r w:rsidRPr="00FE48F7">
        <w:rPr>
          <w:i/>
        </w:rPr>
        <w:t>C</w:t>
      </w:r>
      <w:r w:rsidRPr="00FE48F7">
        <w:rPr>
          <w:i/>
          <w:vertAlign w:val="subscript"/>
        </w:rPr>
        <w:t>f</w:t>
      </w:r>
      <w:proofErr w:type="spellEnd"/>
      <w:r w:rsidR="00FE48F7">
        <w:rPr>
          <w:i/>
          <w:vertAlign w:val="subscript"/>
        </w:rPr>
        <w:t xml:space="preserve">  </w:t>
      </w:r>
      <w:r>
        <w:t>=</w:t>
      </w:r>
      <w:proofErr w:type="gramEnd"/>
      <w:r>
        <w:t xml:space="preserve"> </w:t>
      </w:r>
      <w:r w:rsidR="00FE48F7">
        <w:tab/>
      </w:r>
      <w:r w:rsidR="00FE48F7">
        <w:tab/>
      </w:r>
      <w:r>
        <w:t>conversion factor (µg</w:t>
      </w:r>
      <w:r w:rsidR="00B030F0">
        <w:t>·</w:t>
      </w:r>
      <w:r>
        <w:t>m</w:t>
      </w:r>
      <w:r w:rsidRPr="00FE48F7">
        <w:rPr>
          <w:vertAlign w:val="superscript"/>
        </w:rPr>
        <w:t>-3</w:t>
      </w:r>
      <w:r w:rsidR="00B030F0">
        <w:t>·</w:t>
      </w:r>
      <w:r>
        <w:t>ppb</w:t>
      </w:r>
      <w:r w:rsidR="003A683F">
        <w:t>v</w:t>
      </w:r>
      <w:r w:rsidRPr="00FE48F7">
        <w:rPr>
          <w:vertAlign w:val="superscript"/>
        </w:rPr>
        <w:t>-1</w:t>
      </w:r>
      <w:r>
        <w:t xml:space="preserve">) = molecular weight/(0.082059 </w:t>
      </w:r>
      <w:r w:rsidR="009C7447">
        <w:sym w:font="Symbol" w:char="F0B4"/>
      </w:r>
      <w:r>
        <w:t xml:space="preserve"> 298.15)</w:t>
      </w:r>
    </w:p>
    <w:p w14:paraId="21F8D1AA" w14:textId="77777777" w:rsidR="00FA73E0" w:rsidRDefault="00FA73E0" w:rsidP="009A00C8">
      <w:pPr>
        <w:pStyle w:val="ListParagraph"/>
      </w:pPr>
    </w:p>
    <w:p w14:paraId="619027A5" w14:textId="75FCE86F" w:rsidR="00FA73E0" w:rsidRPr="002F63F5" w:rsidRDefault="002F63F5" w:rsidP="009A00C8">
      <w:pPr>
        <w:pStyle w:val="ListParagraph"/>
      </w:pPr>
      <w:r>
        <w:t>Molecular w</w:t>
      </w:r>
      <w:r w:rsidR="00FA73E0">
        <w:t>eight</w:t>
      </w:r>
      <w:r w:rsidR="007E4D8B">
        <w:t>s</w:t>
      </w:r>
      <w:r w:rsidR="00FA73E0">
        <w:t xml:space="preserve"> (g/mol)</w:t>
      </w:r>
      <w:r w:rsidR="007E4D8B">
        <w:t xml:space="preserve"> for the PAMS </w:t>
      </w:r>
      <w:r w:rsidR="005153F8">
        <w:t xml:space="preserve">priority and optional </w:t>
      </w:r>
      <w:r w:rsidR="007E4D8B">
        <w:t>target carbonyl compounds</w:t>
      </w:r>
      <w:r w:rsidR="00FE48F7" w:rsidRPr="00FE48F7">
        <w:rPr>
          <w:vertAlign w:val="superscript"/>
        </w:rPr>
        <w:t>8</w:t>
      </w:r>
      <w:r w:rsidR="007E4D8B">
        <w:t xml:space="preserve"> are shown in </w:t>
      </w:r>
      <w:r w:rsidR="007E4D8B" w:rsidRPr="002F63F5">
        <w:t xml:space="preserve">Table </w:t>
      </w:r>
      <w:r w:rsidR="002F0EC1">
        <w:t>3</w:t>
      </w:r>
      <w:r w:rsidR="00FA73E0" w:rsidRPr="002F63F5">
        <w:t>:</w:t>
      </w:r>
      <w:r w:rsidR="009119D6" w:rsidRPr="002F63F5">
        <w:br/>
      </w:r>
    </w:p>
    <w:p w14:paraId="724DCA51" w14:textId="74AF5694" w:rsidR="007E4D8B" w:rsidRPr="009119D6" w:rsidRDefault="00215E06" w:rsidP="00FE48F7">
      <w:pPr>
        <w:pStyle w:val="ListParagraph"/>
        <w:ind w:left="0"/>
        <w:jc w:val="center"/>
        <w:rPr>
          <w:b/>
        </w:rPr>
      </w:pPr>
      <w:r w:rsidRPr="002F63F5">
        <w:rPr>
          <w:b/>
        </w:rPr>
        <w:t xml:space="preserve">Table </w:t>
      </w:r>
      <w:r w:rsidR="00310636">
        <w:rPr>
          <w:b/>
        </w:rPr>
        <w:t>3.</w:t>
      </w:r>
      <w:r w:rsidRPr="002F63F5">
        <w:rPr>
          <w:b/>
        </w:rPr>
        <w:t xml:space="preserve"> </w:t>
      </w:r>
      <w:r w:rsidR="00310636">
        <w:rPr>
          <w:b/>
        </w:rPr>
        <w:t xml:space="preserve"> </w:t>
      </w:r>
      <w:r w:rsidRPr="002F63F5">
        <w:rPr>
          <w:b/>
        </w:rPr>
        <w:t>Carbonyl</w:t>
      </w:r>
      <w:r w:rsidRPr="009119D6">
        <w:rPr>
          <w:b/>
        </w:rPr>
        <w:t xml:space="preserve"> Molecular Weights and Conversion Factors</w:t>
      </w:r>
    </w:p>
    <w:tbl>
      <w:tblPr>
        <w:tblStyle w:val="TableGrid"/>
        <w:tblW w:w="0" w:type="auto"/>
        <w:tblInd w:w="895" w:type="dxa"/>
        <w:tblLook w:val="04A0" w:firstRow="1" w:lastRow="0" w:firstColumn="1" w:lastColumn="0" w:noHBand="0" w:noVBand="1"/>
      </w:tblPr>
      <w:tblGrid>
        <w:gridCol w:w="1659"/>
        <w:gridCol w:w="1756"/>
        <w:gridCol w:w="1873"/>
        <w:gridCol w:w="1452"/>
      </w:tblGrid>
      <w:tr w:rsidR="00215E06" w14:paraId="48E4B3C1" w14:textId="77777777" w:rsidTr="00166F9C">
        <w:tc>
          <w:tcPr>
            <w:tcW w:w="1659" w:type="dxa"/>
          </w:tcPr>
          <w:p w14:paraId="2D577C6A" w14:textId="77777777" w:rsidR="00215E06" w:rsidRDefault="00215E06" w:rsidP="00FA1F28">
            <w:pPr>
              <w:pStyle w:val="ListParagraph"/>
              <w:ind w:left="0"/>
              <w:jc w:val="center"/>
            </w:pPr>
            <w:r>
              <w:t>Carbonyl</w:t>
            </w:r>
          </w:p>
        </w:tc>
        <w:tc>
          <w:tcPr>
            <w:tcW w:w="1756" w:type="dxa"/>
          </w:tcPr>
          <w:p w14:paraId="104CB312" w14:textId="77777777" w:rsidR="00215E06" w:rsidRDefault="00FA1F28" w:rsidP="00FA1F28">
            <w:pPr>
              <w:pStyle w:val="ListParagraph"/>
              <w:ind w:left="0"/>
              <w:jc w:val="center"/>
            </w:pPr>
            <w:r>
              <w:t>Molecular Weight</w:t>
            </w:r>
            <w:r>
              <w:br/>
            </w:r>
            <w:r w:rsidR="00215E06">
              <w:t>(g/mol)</w:t>
            </w:r>
          </w:p>
        </w:tc>
        <w:tc>
          <w:tcPr>
            <w:tcW w:w="1873" w:type="dxa"/>
          </w:tcPr>
          <w:p w14:paraId="697E74BB" w14:textId="52074C01" w:rsidR="00215E06" w:rsidRPr="00215E06" w:rsidRDefault="00215E06" w:rsidP="00FA1F28">
            <w:pPr>
              <w:pStyle w:val="ListParagraph"/>
              <w:ind w:left="0"/>
              <w:jc w:val="center"/>
            </w:pPr>
            <w:proofErr w:type="spellStart"/>
            <w:r w:rsidRPr="007E4D8B">
              <w:rPr>
                <w:i/>
              </w:rPr>
              <w:t>C</w:t>
            </w:r>
            <w:r w:rsidRPr="007E4D8B">
              <w:rPr>
                <w:i/>
                <w:vertAlign w:val="subscript"/>
              </w:rPr>
              <w:t>f</w:t>
            </w:r>
            <w:proofErr w:type="spellEnd"/>
            <w:r>
              <w:t xml:space="preserve"> </w:t>
            </w:r>
            <w:r w:rsidR="00FA1F28">
              <w:br/>
            </w:r>
            <w:r>
              <w:t>(µg·m</w:t>
            </w:r>
            <w:r w:rsidRPr="007E4D8B">
              <w:rPr>
                <w:vertAlign w:val="superscript"/>
              </w:rPr>
              <w:t>-3</w:t>
            </w:r>
            <w:r w:rsidR="00B030F0">
              <w:t>·</w:t>
            </w:r>
            <w:r>
              <w:t>ppb</w:t>
            </w:r>
            <w:r w:rsidR="003A683F">
              <w:t>v</w:t>
            </w:r>
            <w:r w:rsidRPr="007E4D8B">
              <w:rPr>
                <w:vertAlign w:val="superscript"/>
              </w:rPr>
              <w:t>-1</w:t>
            </w:r>
            <w:r>
              <w:t>)</w:t>
            </w:r>
          </w:p>
        </w:tc>
        <w:tc>
          <w:tcPr>
            <w:tcW w:w="1452" w:type="dxa"/>
          </w:tcPr>
          <w:p w14:paraId="335116CE" w14:textId="77777777" w:rsidR="00215E06" w:rsidRPr="00215E06" w:rsidRDefault="00215E06" w:rsidP="00FA1F28">
            <w:pPr>
              <w:pStyle w:val="ListParagraph"/>
              <w:ind w:left="0"/>
              <w:jc w:val="center"/>
            </w:pPr>
            <w:r>
              <w:t>Number of Carbon Atoms</w:t>
            </w:r>
          </w:p>
        </w:tc>
      </w:tr>
      <w:tr w:rsidR="00215E06" w14:paraId="5E41EDD0" w14:textId="77777777" w:rsidTr="00166F9C">
        <w:tc>
          <w:tcPr>
            <w:tcW w:w="1659" w:type="dxa"/>
          </w:tcPr>
          <w:p w14:paraId="08D0C191" w14:textId="77777777" w:rsidR="00215E06" w:rsidRDefault="00215E06" w:rsidP="00FA73E0">
            <w:pPr>
              <w:pStyle w:val="ListParagraph"/>
              <w:ind w:left="0"/>
            </w:pPr>
            <w:r>
              <w:t>formaldehyde</w:t>
            </w:r>
          </w:p>
        </w:tc>
        <w:tc>
          <w:tcPr>
            <w:tcW w:w="1756" w:type="dxa"/>
          </w:tcPr>
          <w:p w14:paraId="4B9E91F8" w14:textId="77777777" w:rsidR="00215E06" w:rsidRDefault="00215E06" w:rsidP="00FA1F28">
            <w:pPr>
              <w:pStyle w:val="ListParagraph"/>
              <w:ind w:left="0"/>
              <w:jc w:val="center"/>
            </w:pPr>
            <w:r>
              <w:t>30.026</w:t>
            </w:r>
          </w:p>
        </w:tc>
        <w:tc>
          <w:tcPr>
            <w:tcW w:w="1873" w:type="dxa"/>
          </w:tcPr>
          <w:p w14:paraId="1D52BD13" w14:textId="77777777" w:rsidR="00215E06" w:rsidRDefault="00215E06" w:rsidP="00FA1F28">
            <w:pPr>
              <w:pStyle w:val="ListParagraph"/>
              <w:ind w:left="0"/>
              <w:jc w:val="center"/>
            </w:pPr>
            <w:r>
              <w:t>1.2273</w:t>
            </w:r>
          </w:p>
        </w:tc>
        <w:tc>
          <w:tcPr>
            <w:tcW w:w="1452" w:type="dxa"/>
          </w:tcPr>
          <w:p w14:paraId="0A2C3D8D" w14:textId="77777777" w:rsidR="00215E06" w:rsidRDefault="00215E06" w:rsidP="00FA1F28">
            <w:pPr>
              <w:pStyle w:val="ListParagraph"/>
              <w:ind w:left="0"/>
              <w:jc w:val="center"/>
            </w:pPr>
            <w:r>
              <w:t>1</w:t>
            </w:r>
          </w:p>
        </w:tc>
      </w:tr>
      <w:tr w:rsidR="00215E06" w14:paraId="04BDDFA2" w14:textId="77777777" w:rsidTr="00166F9C">
        <w:tc>
          <w:tcPr>
            <w:tcW w:w="1659" w:type="dxa"/>
          </w:tcPr>
          <w:p w14:paraId="224D291E" w14:textId="77777777" w:rsidR="00215E06" w:rsidRDefault="00215E06" w:rsidP="00FA73E0">
            <w:pPr>
              <w:pStyle w:val="ListParagraph"/>
              <w:ind w:left="0"/>
            </w:pPr>
            <w:r>
              <w:t>acetaldehyde</w:t>
            </w:r>
          </w:p>
        </w:tc>
        <w:tc>
          <w:tcPr>
            <w:tcW w:w="1756" w:type="dxa"/>
          </w:tcPr>
          <w:p w14:paraId="052F349A" w14:textId="77777777" w:rsidR="00215E06" w:rsidRDefault="00215E06" w:rsidP="00FA1F28">
            <w:pPr>
              <w:pStyle w:val="ListParagraph"/>
              <w:ind w:left="0"/>
              <w:jc w:val="center"/>
            </w:pPr>
            <w:r>
              <w:t>44.0526</w:t>
            </w:r>
          </w:p>
        </w:tc>
        <w:tc>
          <w:tcPr>
            <w:tcW w:w="1873" w:type="dxa"/>
          </w:tcPr>
          <w:p w14:paraId="7F019D1B" w14:textId="77777777" w:rsidR="00215E06" w:rsidRDefault="00215E06" w:rsidP="00FA1F28">
            <w:pPr>
              <w:pStyle w:val="ListParagraph"/>
              <w:ind w:left="0"/>
              <w:jc w:val="center"/>
            </w:pPr>
            <w:r>
              <w:t>1.8006</w:t>
            </w:r>
          </w:p>
        </w:tc>
        <w:tc>
          <w:tcPr>
            <w:tcW w:w="1452" w:type="dxa"/>
          </w:tcPr>
          <w:p w14:paraId="7BF5189B" w14:textId="77777777" w:rsidR="00215E06" w:rsidRDefault="00215E06" w:rsidP="00FA1F28">
            <w:pPr>
              <w:pStyle w:val="ListParagraph"/>
              <w:ind w:left="0"/>
              <w:jc w:val="center"/>
            </w:pPr>
            <w:r>
              <w:t>2</w:t>
            </w:r>
          </w:p>
        </w:tc>
      </w:tr>
      <w:tr w:rsidR="00215E06" w14:paraId="1CC11F87" w14:textId="77777777" w:rsidTr="00166F9C">
        <w:tc>
          <w:tcPr>
            <w:tcW w:w="1659" w:type="dxa"/>
          </w:tcPr>
          <w:p w14:paraId="0338FDEE" w14:textId="77777777" w:rsidR="00215E06" w:rsidRDefault="00215E06" w:rsidP="00FA73E0">
            <w:pPr>
              <w:pStyle w:val="ListParagraph"/>
              <w:ind w:left="0"/>
            </w:pPr>
            <w:r>
              <w:t>acetone</w:t>
            </w:r>
          </w:p>
        </w:tc>
        <w:tc>
          <w:tcPr>
            <w:tcW w:w="1756" w:type="dxa"/>
          </w:tcPr>
          <w:p w14:paraId="3C725027" w14:textId="77777777" w:rsidR="00215E06" w:rsidRDefault="00215E06" w:rsidP="00FA1F28">
            <w:pPr>
              <w:pStyle w:val="ListParagraph"/>
              <w:ind w:left="0"/>
              <w:jc w:val="center"/>
            </w:pPr>
            <w:r>
              <w:t>58.0791</w:t>
            </w:r>
          </w:p>
        </w:tc>
        <w:tc>
          <w:tcPr>
            <w:tcW w:w="1873" w:type="dxa"/>
          </w:tcPr>
          <w:p w14:paraId="0879C6F5" w14:textId="77777777" w:rsidR="00215E06" w:rsidRDefault="00215E06" w:rsidP="00FA1F28">
            <w:pPr>
              <w:pStyle w:val="ListParagraph"/>
              <w:ind w:left="0"/>
              <w:jc w:val="center"/>
            </w:pPr>
            <w:r>
              <w:t>2.3739</w:t>
            </w:r>
          </w:p>
        </w:tc>
        <w:tc>
          <w:tcPr>
            <w:tcW w:w="1452" w:type="dxa"/>
          </w:tcPr>
          <w:p w14:paraId="42D266DE" w14:textId="77777777" w:rsidR="00215E06" w:rsidRDefault="00215E06" w:rsidP="00FA1F28">
            <w:pPr>
              <w:pStyle w:val="ListParagraph"/>
              <w:ind w:left="0"/>
              <w:jc w:val="center"/>
            </w:pPr>
            <w:r>
              <w:t>3</w:t>
            </w:r>
          </w:p>
        </w:tc>
      </w:tr>
      <w:tr w:rsidR="00215E06" w14:paraId="65B8B9E9" w14:textId="77777777" w:rsidTr="00166F9C">
        <w:tc>
          <w:tcPr>
            <w:tcW w:w="1659" w:type="dxa"/>
          </w:tcPr>
          <w:p w14:paraId="37E33F75" w14:textId="77777777" w:rsidR="00215E06" w:rsidRDefault="00215E06" w:rsidP="00FA73E0">
            <w:pPr>
              <w:pStyle w:val="ListParagraph"/>
              <w:ind w:left="0"/>
            </w:pPr>
            <w:r>
              <w:t>benzaldehyde</w:t>
            </w:r>
          </w:p>
        </w:tc>
        <w:tc>
          <w:tcPr>
            <w:tcW w:w="1756" w:type="dxa"/>
          </w:tcPr>
          <w:p w14:paraId="240634F0" w14:textId="77777777" w:rsidR="00215E06" w:rsidRDefault="00215E06" w:rsidP="00FA1F28">
            <w:pPr>
              <w:pStyle w:val="ListParagraph"/>
              <w:ind w:left="0"/>
              <w:jc w:val="center"/>
            </w:pPr>
            <w:r>
              <w:t>106.124</w:t>
            </w:r>
          </w:p>
        </w:tc>
        <w:tc>
          <w:tcPr>
            <w:tcW w:w="1873" w:type="dxa"/>
          </w:tcPr>
          <w:p w14:paraId="1D298EF7" w14:textId="77777777" w:rsidR="00215E06" w:rsidRDefault="00215E06" w:rsidP="00FA1F28">
            <w:pPr>
              <w:pStyle w:val="ListParagraph"/>
              <w:ind w:left="0"/>
              <w:jc w:val="center"/>
            </w:pPr>
            <w:r>
              <w:t>4.3376</w:t>
            </w:r>
          </w:p>
        </w:tc>
        <w:tc>
          <w:tcPr>
            <w:tcW w:w="1452" w:type="dxa"/>
          </w:tcPr>
          <w:p w14:paraId="5E5E60E9" w14:textId="77777777" w:rsidR="00215E06" w:rsidRDefault="00215E06" w:rsidP="00FA1F28">
            <w:pPr>
              <w:pStyle w:val="ListParagraph"/>
              <w:ind w:left="0"/>
              <w:jc w:val="center"/>
            </w:pPr>
            <w:r>
              <w:t>7</w:t>
            </w:r>
          </w:p>
        </w:tc>
      </w:tr>
    </w:tbl>
    <w:p w14:paraId="7AC115BA" w14:textId="77777777" w:rsidR="007E4D8B" w:rsidRDefault="007E4D8B" w:rsidP="00FA73E0">
      <w:pPr>
        <w:pStyle w:val="ListParagraph"/>
        <w:ind w:left="1440"/>
      </w:pPr>
    </w:p>
    <w:p w14:paraId="5C6B8AF6" w14:textId="662CBE25" w:rsidR="00215E06" w:rsidRDefault="00215E06" w:rsidP="00FE48F7">
      <w:pPr>
        <w:pStyle w:val="ListParagraph"/>
      </w:pPr>
      <w:r>
        <w:t xml:space="preserve">To convert the concentration in air </w:t>
      </w:r>
      <w:r w:rsidR="00FA1F28">
        <w:t xml:space="preserve">from </w:t>
      </w:r>
      <w:proofErr w:type="spellStart"/>
      <w:r w:rsidR="00FA1F28">
        <w:t>ppb</w:t>
      </w:r>
      <w:r w:rsidR="003A683F">
        <w:t>v</w:t>
      </w:r>
      <w:proofErr w:type="spellEnd"/>
      <w:r w:rsidR="00FA1F28">
        <w:t xml:space="preserve"> </w:t>
      </w:r>
      <w:r w:rsidR="00B47BE3">
        <w:t>to</w:t>
      </w:r>
      <w:r>
        <w:t xml:space="preserve"> ppbC, the concentration in </w:t>
      </w:r>
      <w:proofErr w:type="spellStart"/>
      <w:r>
        <w:t>ppb</w:t>
      </w:r>
      <w:r w:rsidR="003A683F">
        <w:t>v</w:t>
      </w:r>
      <w:proofErr w:type="spellEnd"/>
      <w:r>
        <w:t xml:space="preserve"> is multiplied by the number of carbon atoms in one molecule of the target analyte.</w:t>
      </w:r>
    </w:p>
    <w:p w14:paraId="42AF2426" w14:textId="5EDA13C4" w:rsidR="00FE48F7" w:rsidRDefault="00FE48F7">
      <w:pPr>
        <w:rPr>
          <w:b/>
        </w:rPr>
      </w:pPr>
    </w:p>
    <w:p w14:paraId="3AC35049" w14:textId="0CC37D6B" w:rsidR="00310636" w:rsidRPr="00350FFF" w:rsidRDefault="00310636" w:rsidP="00FE48F7">
      <w:pPr>
        <w:jc w:val="center"/>
        <w:rPr>
          <w:b/>
        </w:rPr>
      </w:pPr>
      <w:r w:rsidRPr="00350FFF">
        <w:rPr>
          <w:b/>
        </w:rPr>
        <w:lastRenderedPageBreak/>
        <w:t xml:space="preserve">Table </w:t>
      </w:r>
      <w:r>
        <w:rPr>
          <w:b/>
        </w:rPr>
        <w:t>4</w:t>
      </w:r>
      <w:r w:rsidRPr="00350FFF">
        <w:rPr>
          <w:b/>
        </w:rPr>
        <w:t>.  Quality Control and Operational Parameters</w:t>
      </w:r>
    </w:p>
    <w:tbl>
      <w:tblPr>
        <w:tblStyle w:val="TableGrid"/>
        <w:tblW w:w="5000" w:type="pct"/>
        <w:tblLook w:val="04A0" w:firstRow="1" w:lastRow="0" w:firstColumn="1" w:lastColumn="0" w:noHBand="0" w:noVBand="1"/>
      </w:tblPr>
      <w:tblGrid>
        <w:gridCol w:w="2078"/>
        <w:gridCol w:w="2237"/>
        <w:gridCol w:w="2209"/>
        <w:gridCol w:w="2106"/>
      </w:tblGrid>
      <w:tr w:rsidR="00310636" w:rsidRPr="00350FFF" w14:paraId="651693C1" w14:textId="77777777" w:rsidTr="00FE48F7">
        <w:trPr>
          <w:cantSplit/>
        </w:trPr>
        <w:tc>
          <w:tcPr>
            <w:tcW w:w="1204" w:type="pct"/>
          </w:tcPr>
          <w:p w14:paraId="71EBCA2C" w14:textId="77777777" w:rsidR="00310636" w:rsidRPr="009F6232" w:rsidRDefault="00310636" w:rsidP="001679B5">
            <w:pPr>
              <w:jc w:val="center"/>
              <w:rPr>
                <w:b/>
                <w:sz w:val="20"/>
                <w:szCs w:val="20"/>
              </w:rPr>
            </w:pPr>
            <w:r w:rsidRPr="009F6232">
              <w:rPr>
                <w:b/>
                <w:sz w:val="20"/>
                <w:szCs w:val="20"/>
              </w:rPr>
              <w:t>Parameter</w:t>
            </w:r>
          </w:p>
        </w:tc>
        <w:tc>
          <w:tcPr>
            <w:tcW w:w="1296" w:type="pct"/>
          </w:tcPr>
          <w:p w14:paraId="7DB7E906" w14:textId="77777777" w:rsidR="00310636" w:rsidRPr="009F6232" w:rsidRDefault="00310636" w:rsidP="001679B5">
            <w:pPr>
              <w:jc w:val="center"/>
              <w:rPr>
                <w:b/>
                <w:sz w:val="20"/>
                <w:szCs w:val="20"/>
              </w:rPr>
            </w:pPr>
            <w:r w:rsidRPr="009F6232">
              <w:rPr>
                <w:b/>
                <w:sz w:val="20"/>
                <w:szCs w:val="20"/>
              </w:rPr>
              <w:t>Detail</w:t>
            </w:r>
          </w:p>
        </w:tc>
        <w:tc>
          <w:tcPr>
            <w:tcW w:w="1280" w:type="pct"/>
          </w:tcPr>
          <w:p w14:paraId="137392E1" w14:textId="77777777" w:rsidR="00310636" w:rsidRPr="009F6232" w:rsidRDefault="00310636" w:rsidP="001679B5">
            <w:pPr>
              <w:jc w:val="center"/>
              <w:rPr>
                <w:b/>
                <w:sz w:val="20"/>
                <w:szCs w:val="20"/>
              </w:rPr>
            </w:pPr>
            <w:r w:rsidRPr="009F6232">
              <w:rPr>
                <w:b/>
                <w:sz w:val="20"/>
                <w:szCs w:val="20"/>
              </w:rPr>
              <w:t>Required Frequency</w:t>
            </w:r>
          </w:p>
        </w:tc>
        <w:tc>
          <w:tcPr>
            <w:tcW w:w="1220" w:type="pct"/>
          </w:tcPr>
          <w:p w14:paraId="53D6736A" w14:textId="77777777" w:rsidR="00310636" w:rsidRPr="009F6232" w:rsidRDefault="00310636" w:rsidP="001679B5">
            <w:pPr>
              <w:jc w:val="center"/>
              <w:rPr>
                <w:b/>
                <w:sz w:val="20"/>
                <w:szCs w:val="20"/>
              </w:rPr>
            </w:pPr>
            <w:r w:rsidRPr="009F6232">
              <w:rPr>
                <w:b/>
                <w:sz w:val="20"/>
                <w:szCs w:val="20"/>
              </w:rPr>
              <w:t>Acceptance Criteria</w:t>
            </w:r>
          </w:p>
        </w:tc>
      </w:tr>
      <w:tr w:rsidR="00310636" w:rsidRPr="00350FFF" w14:paraId="4AA226E9" w14:textId="77777777" w:rsidTr="00FE48F7">
        <w:trPr>
          <w:cantSplit/>
        </w:trPr>
        <w:tc>
          <w:tcPr>
            <w:tcW w:w="1204" w:type="pct"/>
          </w:tcPr>
          <w:p w14:paraId="2E2F42AF" w14:textId="77777777" w:rsidR="00310636" w:rsidRPr="00350FFF" w:rsidRDefault="00310636" w:rsidP="001679B5">
            <w:pPr>
              <w:rPr>
                <w:sz w:val="20"/>
                <w:szCs w:val="20"/>
              </w:rPr>
            </w:pPr>
            <w:r w:rsidRPr="00350FFF">
              <w:rPr>
                <w:sz w:val="20"/>
                <w:szCs w:val="20"/>
              </w:rPr>
              <w:t>Sampling Inlet Line Clean</w:t>
            </w:r>
            <w:r>
              <w:rPr>
                <w:sz w:val="20"/>
                <w:szCs w:val="20"/>
              </w:rPr>
              <w:t>ing</w:t>
            </w:r>
            <w:r w:rsidRPr="00350FFF">
              <w:rPr>
                <w:sz w:val="20"/>
                <w:szCs w:val="20"/>
              </w:rPr>
              <w:t xml:space="preserve"> or Replace</w:t>
            </w:r>
            <w:r>
              <w:rPr>
                <w:sz w:val="20"/>
                <w:szCs w:val="20"/>
              </w:rPr>
              <w:t>ment</w:t>
            </w:r>
          </w:p>
        </w:tc>
        <w:tc>
          <w:tcPr>
            <w:tcW w:w="1296" w:type="pct"/>
          </w:tcPr>
          <w:p w14:paraId="661DF8CE" w14:textId="77777777" w:rsidR="00310636" w:rsidRPr="00350FFF" w:rsidRDefault="00310636" w:rsidP="001679B5">
            <w:pPr>
              <w:rPr>
                <w:sz w:val="20"/>
                <w:szCs w:val="20"/>
              </w:rPr>
            </w:pPr>
            <w:r w:rsidRPr="00350FFF">
              <w:rPr>
                <w:sz w:val="20"/>
                <w:szCs w:val="20"/>
              </w:rPr>
              <w:t>Clean particulate residue from inlet line or install new</w:t>
            </w:r>
          </w:p>
        </w:tc>
        <w:tc>
          <w:tcPr>
            <w:tcW w:w="1280" w:type="pct"/>
          </w:tcPr>
          <w:p w14:paraId="26DEF0BF" w14:textId="77777777" w:rsidR="00310636" w:rsidRPr="00350FFF" w:rsidRDefault="00310636" w:rsidP="001679B5">
            <w:pPr>
              <w:rPr>
                <w:sz w:val="20"/>
                <w:szCs w:val="20"/>
              </w:rPr>
            </w:pPr>
            <w:r>
              <w:rPr>
                <w:sz w:val="20"/>
                <w:szCs w:val="20"/>
              </w:rPr>
              <w:t>Prior to</w:t>
            </w:r>
            <w:r w:rsidRPr="00350FFF">
              <w:rPr>
                <w:sz w:val="20"/>
                <w:szCs w:val="20"/>
              </w:rPr>
              <w:t xml:space="preserve"> the beginning of each PAMS season</w:t>
            </w:r>
          </w:p>
        </w:tc>
        <w:tc>
          <w:tcPr>
            <w:tcW w:w="1220" w:type="pct"/>
          </w:tcPr>
          <w:p w14:paraId="51C6972B" w14:textId="77777777" w:rsidR="00310636" w:rsidRPr="00350FFF" w:rsidRDefault="00310636" w:rsidP="001679B5">
            <w:pPr>
              <w:rPr>
                <w:sz w:val="20"/>
                <w:szCs w:val="20"/>
              </w:rPr>
            </w:pPr>
            <w:r w:rsidRPr="00350FFF">
              <w:rPr>
                <w:sz w:val="20"/>
                <w:szCs w:val="20"/>
              </w:rPr>
              <w:t>None</w:t>
            </w:r>
          </w:p>
        </w:tc>
      </w:tr>
      <w:tr w:rsidR="00310636" w:rsidRPr="00350FFF" w14:paraId="5651C9AF" w14:textId="77777777" w:rsidTr="00FE48F7">
        <w:trPr>
          <w:cantSplit/>
        </w:trPr>
        <w:tc>
          <w:tcPr>
            <w:tcW w:w="1204" w:type="pct"/>
          </w:tcPr>
          <w:p w14:paraId="49BB8DC3" w14:textId="5AE1C0AF" w:rsidR="00310636" w:rsidRPr="00350FFF" w:rsidRDefault="00310636" w:rsidP="001679B5">
            <w:pPr>
              <w:rPr>
                <w:sz w:val="20"/>
                <w:szCs w:val="20"/>
              </w:rPr>
            </w:pPr>
            <w:r w:rsidRPr="00350FFF">
              <w:rPr>
                <w:sz w:val="20"/>
                <w:szCs w:val="20"/>
              </w:rPr>
              <w:t xml:space="preserve">Positive Bias </w:t>
            </w:r>
            <w:r w:rsidR="00340339">
              <w:rPr>
                <w:sz w:val="20"/>
                <w:szCs w:val="20"/>
              </w:rPr>
              <w:t>Check</w:t>
            </w:r>
          </w:p>
        </w:tc>
        <w:tc>
          <w:tcPr>
            <w:tcW w:w="1296" w:type="pct"/>
          </w:tcPr>
          <w:p w14:paraId="3B3A58DE" w14:textId="77777777" w:rsidR="00310636" w:rsidRPr="00350FFF" w:rsidRDefault="00310636" w:rsidP="001679B5">
            <w:pPr>
              <w:rPr>
                <w:sz w:val="20"/>
                <w:szCs w:val="20"/>
              </w:rPr>
            </w:pPr>
            <w:r w:rsidRPr="00350FFF">
              <w:rPr>
                <w:sz w:val="20"/>
                <w:szCs w:val="20"/>
              </w:rPr>
              <w:t>Collection of a sample of humidified zero air to investigate contamination contributed by the sampler</w:t>
            </w:r>
          </w:p>
        </w:tc>
        <w:tc>
          <w:tcPr>
            <w:tcW w:w="1280" w:type="pct"/>
          </w:tcPr>
          <w:p w14:paraId="48700D1F" w14:textId="77777777" w:rsidR="00310636" w:rsidRPr="00350FFF" w:rsidRDefault="00310636" w:rsidP="001679B5">
            <w:pPr>
              <w:rPr>
                <w:sz w:val="20"/>
                <w:szCs w:val="20"/>
              </w:rPr>
            </w:pPr>
            <w:r w:rsidRPr="00350FFF">
              <w:rPr>
                <w:sz w:val="20"/>
                <w:szCs w:val="20"/>
              </w:rPr>
              <w:t xml:space="preserve">Prior to the beginning of every PAMS season </w:t>
            </w:r>
            <w:r>
              <w:rPr>
                <w:sz w:val="20"/>
                <w:szCs w:val="20"/>
              </w:rPr>
              <w:t xml:space="preserve">and </w:t>
            </w:r>
            <w:r w:rsidRPr="00350FFF">
              <w:rPr>
                <w:sz w:val="20"/>
                <w:szCs w:val="20"/>
              </w:rPr>
              <w:t>following instrument maintenance (ozone denuder recharge, particulate filter change, etc.)</w:t>
            </w:r>
          </w:p>
        </w:tc>
        <w:tc>
          <w:tcPr>
            <w:tcW w:w="1220" w:type="pct"/>
          </w:tcPr>
          <w:p w14:paraId="0DB43B40" w14:textId="77777777" w:rsidR="00310636" w:rsidRPr="00350FFF" w:rsidRDefault="00310636" w:rsidP="001679B5">
            <w:pPr>
              <w:rPr>
                <w:sz w:val="20"/>
                <w:szCs w:val="20"/>
              </w:rPr>
            </w:pPr>
            <w:r w:rsidRPr="00350FFF">
              <w:rPr>
                <w:sz w:val="20"/>
                <w:szCs w:val="20"/>
              </w:rPr>
              <w:t xml:space="preserve">All target compounds &lt; 0.2 </w:t>
            </w:r>
            <w:r>
              <w:rPr>
                <w:sz w:val="20"/>
                <w:szCs w:val="20"/>
              </w:rPr>
              <w:t>µg/cartridge</w:t>
            </w:r>
            <w:r w:rsidRPr="00350FFF">
              <w:rPr>
                <w:sz w:val="20"/>
                <w:szCs w:val="20"/>
              </w:rPr>
              <w:t xml:space="preserve"> greater than </w:t>
            </w:r>
            <w:r>
              <w:rPr>
                <w:sz w:val="20"/>
                <w:szCs w:val="20"/>
              </w:rPr>
              <w:br/>
            </w:r>
            <w:r w:rsidRPr="00350FFF">
              <w:rPr>
                <w:sz w:val="20"/>
                <w:szCs w:val="20"/>
              </w:rPr>
              <w:t>co-collected reference sample</w:t>
            </w:r>
          </w:p>
        </w:tc>
      </w:tr>
      <w:tr w:rsidR="00310636" w:rsidRPr="00350FFF" w14:paraId="7EEB2945" w14:textId="77777777" w:rsidTr="00FE48F7">
        <w:trPr>
          <w:cantSplit/>
        </w:trPr>
        <w:tc>
          <w:tcPr>
            <w:tcW w:w="1204" w:type="pct"/>
          </w:tcPr>
          <w:p w14:paraId="1AB32AB3" w14:textId="77777777" w:rsidR="00310636" w:rsidRPr="00350FFF" w:rsidRDefault="00310636" w:rsidP="001679B5">
            <w:pPr>
              <w:rPr>
                <w:sz w:val="20"/>
                <w:szCs w:val="20"/>
              </w:rPr>
            </w:pPr>
            <w:r w:rsidRPr="00350FFF">
              <w:rPr>
                <w:sz w:val="20"/>
                <w:szCs w:val="20"/>
              </w:rPr>
              <w:t>Mass Flow Controller Calibration</w:t>
            </w:r>
          </w:p>
        </w:tc>
        <w:tc>
          <w:tcPr>
            <w:tcW w:w="1296" w:type="pct"/>
          </w:tcPr>
          <w:p w14:paraId="6679CC9F" w14:textId="77777777" w:rsidR="00310636" w:rsidRPr="00350FFF" w:rsidRDefault="00310636" w:rsidP="001679B5">
            <w:pPr>
              <w:rPr>
                <w:sz w:val="20"/>
                <w:szCs w:val="20"/>
              </w:rPr>
            </w:pPr>
            <w:r w:rsidRPr="00350FFF">
              <w:rPr>
                <w:sz w:val="20"/>
                <w:szCs w:val="20"/>
              </w:rPr>
              <w:t>Establishment of the MFC slope and intercept by comparison to a flow transfer standard</w:t>
            </w:r>
          </w:p>
        </w:tc>
        <w:tc>
          <w:tcPr>
            <w:tcW w:w="1280" w:type="pct"/>
          </w:tcPr>
          <w:p w14:paraId="69ABE76C" w14:textId="77777777" w:rsidR="00310636" w:rsidRPr="00350FFF" w:rsidRDefault="00310636" w:rsidP="001679B5">
            <w:pPr>
              <w:rPr>
                <w:sz w:val="20"/>
                <w:szCs w:val="20"/>
              </w:rPr>
            </w:pPr>
            <w:r w:rsidRPr="00350FFF">
              <w:rPr>
                <w:sz w:val="20"/>
                <w:szCs w:val="20"/>
              </w:rPr>
              <w:t>At the beginning of each PAMS season and when flow verification checks fail criteria</w:t>
            </w:r>
          </w:p>
        </w:tc>
        <w:tc>
          <w:tcPr>
            <w:tcW w:w="1220" w:type="pct"/>
          </w:tcPr>
          <w:p w14:paraId="02D9F726" w14:textId="77777777" w:rsidR="00310636" w:rsidRPr="00350FFF" w:rsidRDefault="00310636" w:rsidP="001679B5">
            <w:pPr>
              <w:rPr>
                <w:sz w:val="20"/>
                <w:szCs w:val="20"/>
              </w:rPr>
            </w:pPr>
            <w:r w:rsidRPr="00350FFF">
              <w:rPr>
                <w:sz w:val="20"/>
                <w:szCs w:val="20"/>
              </w:rPr>
              <w:t xml:space="preserve">Flow verification immediately following calibration </w:t>
            </w:r>
            <w:r>
              <w:rPr>
                <w:sz w:val="20"/>
                <w:szCs w:val="20"/>
              </w:rPr>
              <w:t xml:space="preserve">measured with a flow transfer standard </w:t>
            </w:r>
            <w:r w:rsidRPr="00350FFF">
              <w:rPr>
                <w:sz w:val="20"/>
                <w:szCs w:val="20"/>
              </w:rPr>
              <w:t xml:space="preserve">must be within ±10% </w:t>
            </w:r>
            <w:r>
              <w:rPr>
                <w:sz w:val="20"/>
                <w:szCs w:val="20"/>
              </w:rPr>
              <w:t>of the flow setting</w:t>
            </w:r>
          </w:p>
        </w:tc>
      </w:tr>
      <w:tr w:rsidR="00310636" w:rsidRPr="00350FFF" w14:paraId="296D92E3" w14:textId="77777777" w:rsidTr="00FE48F7">
        <w:trPr>
          <w:cantSplit/>
        </w:trPr>
        <w:tc>
          <w:tcPr>
            <w:tcW w:w="1204" w:type="pct"/>
          </w:tcPr>
          <w:p w14:paraId="1E9B2C50" w14:textId="77777777" w:rsidR="00310636" w:rsidRPr="00350FFF" w:rsidRDefault="00310636" w:rsidP="001679B5">
            <w:pPr>
              <w:rPr>
                <w:sz w:val="20"/>
                <w:szCs w:val="20"/>
              </w:rPr>
            </w:pPr>
            <w:r w:rsidRPr="00350FFF">
              <w:rPr>
                <w:sz w:val="20"/>
                <w:szCs w:val="20"/>
              </w:rPr>
              <w:t>Mass Flow Controller Calibration Verification</w:t>
            </w:r>
          </w:p>
        </w:tc>
        <w:tc>
          <w:tcPr>
            <w:tcW w:w="1296" w:type="pct"/>
          </w:tcPr>
          <w:p w14:paraId="41FFC75D" w14:textId="77777777" w:rsidR="00310636" w:rsidRPr="00350FFF" w:rsidRDefault="00310636" w:rsidP="001679B5">
            <w:pPr>
              <w:rPr>
                <w:sz w:val="20"/>
                <w:szCs w:val="20"/>
              </w:rPr>
            </w:pPr>
            <w:r w:rsidRPr="00350FFF">
              <w:rPr>
                <w:sz w:val="20"/>
                <w:szCs w:val="20"/>
              </w:rPr>
              <w:t>Verify sampling flow of each channel at the sampling flow setting</w:t>
            </w:r>
          </w:p>
        </w:tc>
        <w:tc>
          <w:tcPr>
            <w:tcW w:w="1280" w:type="pct"/>
          </w:tcPr>
          <w:p w14:paraId="0C900D82" w14:textId="77777777" w:rsidR="00310636" w:rsidRPr="00350FFF" w:rsidRDefault="00310636" w:rsidP="001679B5">
            <w:pPr>
              <w:rPr>
                <w:sz w:val="20"/>
                <w:szCs w:val="20"/>
              </w:rPr>
            </w:pPr>
            <w:r w:rsidRPr="00350FFF">
              <w:rPr>
                <w:sz w:val="20"/>
                <w:szCs w:val="20"/>
              </w:rPr>
              <w:t>Minimally monthly</w:t>
            </w:r>
            <w:r>
              <w:rPr>
                <w:sz w:val="20"/>
                <w:szCs w:val="20"/>
              </w:rPr>
              <w:t xml:space="preserve"> during active monitoring</w:t>
            </w:r>
          </w:p>
        </w:tc>
        <w:tc>
          <w:tcPr>
            <w:tcW w:w="1220" w:type="pct"/>
          </w:tcPr>
          <w:p w14:paraId="0D62FC16" w14:textId="77777777" w:rsidR="00310636" w:rsidRPr="00350FFF" w:rsidRDefault="00310636" w:rsidP="001679B5">
            <w:pPr>
              <w:rPr>
                <w:sz w:val="20"/>
                <w:szCs w:val="20"/>
              </w:rPr>
            </w:pPr>
            <w:r>
              <w:rPr>
                <w:sz w:val="20"/>
                <w:szCs w:val="20"/>
              </w:rPr>
              <w:t>Flows measured by flow transfer standard w</w:t>
            </w:r>
            <w:r w:rsidRPr="00350FFF">
              <w:rPr>
                <w:sz w:val="20"/>
                <w:szCs w:val="20"/>
              </w:rPr>
              <w:t xml:space="preserve">ithin ±10% of </w:t>
            </w:r>
            <w:r>
              <w:rPr>
                <w:sz w:val="20"/>
                <w:szCs w:val="20"/>
              </w:rPr>
              <w:t>flow setting</w:t>
            </w:r>
          </w:p>
        </w:tc>
      </w:tr>
      <w:tr w:rsidR="00310636" w:rsidRPr="00350FFF" w14:paraId="6D4E12D5" w14:textId="77777777" w:rsidTr="00FE48F7">
        <w:trPr>
          <w:cantSplit/>
        </w:trPr>
        <w:tc>
          <w:tcPr>
            <w:tcW w:w="1204" w:type="pct"/>
          </w:tcPr>
          <w:p w14:paraId="6BA8DF76" w14:textId="77777777" w:rsidR="00310636" w:rsidRPr="00350FFF" w:rsidRDefault="00310636" w:rsidP="001679B5">
            <w:pPr>
              <w:rPr>
                <w:sz w:val="20"/>
                <w:szCs w:val="20"/>
              </w:rPr>
            </w:pPr>
            <w:r w:rsidRPr="00350FFF">
              <w:rPr>
                <w:sz w:val="20"/>
                <w:szCs w:val="20"/>
              </w:rPr>
              <w:t>Ozone Denuder Recharge or Replace</w:t>
            </w:r>
          </w:p>
        </w:tc>
        <w:tc>
          <w:tcPr>
            <w:tcW w:w="1296" w:type="pct"/>
          </w:tcPr>
          <w:p w14:paraId="48919945" w14:textId="77777777" w:rsidR="00310636" w:rsidRPr="00350FFF" w:rsidRDefault="00310636" w:rsidP="001679B5">
            <w:pPr>
              <w:rPr>
                <w:sz w:val="20"/>
                <w:szCs w:val="20"/>
              </w:rPr>
            </w:pPr>
            <w:r w:rsidRPr="00350FFF">
              <w:rPr>
                <w:sz w:val="20"/>
                <w:szCs w:val="20"/>
              </w:rPr>
              <w:t xml:space="preserve">Recoat denuder with fresh KI </w:t>
            </w:r>
          </w:p>
        </w:tc>
        <w:tc>
          <w:tcPr>
            <w:tcW w:w="1280" w:type="pct"/>
          </w:tcPr>
          <w:p w14:paraId="14B1B905" w14:textId="77777777" w:rsidR="00310636" w:rsidRPr="00350FFF" w:rsidRDefault="00310636" w:rsidP="001679B5">
            <w:pPr>
              <w:rPr>
                <w:sz w:val="20"/>
                <w:szCs w:val="20"/>
              </w:rPr>
            </w:pPr>
            <w:r w:rsidRPr="00350FFF">
              <w:rPr>
                <w:sz w:val="20"/>
                <w:szCs w:val="20"/>
              </w:rPr>
              <w:t>Every other PAMS season</w:t>
            </w:r>
          </w:p>
        </w:tc>
        <w:tc>
          <w:tcPr>
            <w:tcW w:w="1220" w:type="pct"/>
          </w:tcPr>
          <w:p w14:paraId="0113BD34" w14:textId="338F586B" w:rsidR="00310636" w:rsidRPr="00350FFF" w:rsidRDefault="00310636" w:rsidP="001679B5">
            <w:pPr>
              <w:rPr>
                <w:sz w:val="20"/>
                <w:szCs w:val="20"/>
              </w:rPr>
            </w:pPr>
            <w:r w:rsidRPr="007C4108">
              <w:rPr>
                <w:sz w:val="20"/>
                <w:szCs w:val="20"/>
              </w:rPr>
              <w:t xml:space="preserve">None. Recommended to challenge sampling unit with </w:t>
            </w:r>
            <w:r w:rsidR="00340339">
              <w:rPr>
                <w:sz w:val="20"/>
                <w:szCs w:val="20"/>
              </w:rPr>
              <w:t xml:space="preserve">ozone at 120% of the maximum site-measured ozone concentration and measure &lt; 10 ppb or </w:t>
            </w:r>
            <w:r w:rsidR="00340339">
              <w:rPr>
                <w:sz w:val="20"/>
                <w:szCs w:val="20"/>
              </w:rPr>
              <w:br/>
              <w:t>&lt; 5% of the challenged concentration.</w:t>
            </w:r>
          </w:p>
        </w:tc>
      </w:tr>
      <w:tr w:rsidR="00310636" w:rsidRPr="00350FFF" w14:paraId="11F811E4" w14:textId="77777777" w:rsidTr="00FE48F7">
        <w:trPr>
          <w:cantSplit/>
        </w:trPr>
        <w:tc>
          <w:tcPr>
            <w:tcW w:w="1204" w:type="pct"/>
          </w:tcPr>
          <w:p w14:paraId="67357641" w14:textId="77777777" w:rsidR="00310636" w:rsidRPr="00350FFF" w:rsidRDefault="00310636" w:rsidP="001679B5">
            <w:pPr>
              <w:rPr>
                <w:sz w:val="20"/>
                <w:szCs w:val="20"/>
              </w:rPr>
            </w:pPr>
            <w:r w:rsidRPr="00350FFF">
              <w:rPr>
                <w:sz w:val="20"/>
                <w:szCs w:val="20"/>
              </w:rPr>
              <w:t>Particulate Filter Replace</w:t>
            </w:r>
          </w:p>
        </w:tc>
        <w:tc>
          <w:tcPr>
            <w:tcW w:w="1296" w:type="pct"/>
          </w:tcPr>
          <w:p w14:paraId="0906912E" w14:textId="77777777" w:rsidR="00310636" w:rsidRPr="00350FFF" w:rsidRDefault="00310636" w:rsidP="001679B5">
            <w:pPr>
              <w:rPr>
                <w:sz w:val="20"/>
                <w:szCs w:val="20"/>
              </w:rPr>
            </w:pPr>
            <w:r w:rsidRPr="00350FFF">
              <w:rPr>
                <w:sz w:val="20"/>
                <w:szCs w:val="20"/>
              </w:rPr>
              <w:t xml:space="preserve">Replace inline </w:t>
            </w:r>
            <w:r>
              <w:rPr>
                <w:sz w:val="20"/>
                <w:szCs w:val="20"/>
              </w:rPr>
              <w:t>PTFE</w:t>
            </w:r>
            <w:r w:rsidRPr="00350FFF">
              <w:rPr>
                <w:sz w:val="20"/>
                <w:szCs w:val="20"/>
              </w:rPr>
              <w:t xml:space="preserve"> particulate filter</w:t>
            </w:r>
          </w:p>
        </w:tc>
        <w:tc>
          <w:tcPr>
            <w:tcW w:w="1280" w:type="pct"/>
          </w:tcPr>
          <w:p w14:paraId="5BFC44F6" w14:textId="77777777" w:rsidR="00310636" w:rsidRPr="00350FFF" w:rsidRDefault="00310636" w:rsidP="001679B5">
            <w:pPr>
              <w:rPr>
                <w:sz w:val="20"/>
                <w:szCs w:val="20"/>
              </w:rPr>
            </w:pPr>
            <w:r w:rsidRPr="00350FFF">
              <w:rPr>
                <w:sz w:val="20"/>
                <w:szCs w:val="20"/>
              </w:rPr>
              <w:t>Beginning of each PAMS season or more frequently if flows decrease</w:t>
            </w:r>
          </w:p>
        </w:tc>
        <w:tc>
          <w:tcPr>
            <w:tcW w:w="1220" w:type="pct"/>
          </w:tcPr>
          <w:p w14:paraId="77EE747F" w14:textId="77777777" w:rsidR="00310636" w:rsidRPr="00350FFF" w:rsidRDefault="00310636" w:rsidP="001679B5">
            <w:pPr>
              <w:rPr>
                <w:sz w:val="20"/>
                <w:szCs w:val="20"/>
              </w:rPr>
            </w:pPr>
            <w:r w:rsidRPr="00350FFF">
              <w:rPr>
                <w:sz w:val="20"/>
                <w:szCs w:val="20"/>
              </w:rPr>
              <w:t>None</w:t>
            </w:r>
          </w:p>
        </w:tc>
      </w:tr>
      <w:tr w:rsidR="00310636" w:rsidRPr="00350FFF" w14:paraId="0F9B2619" w14:textId="77777777" w:rsidTr="00FE48F7">
        <w:trPr>
          <w:cantSplit/>
        </w:trPr>
        <w:tc>
          <w:tcPr>
            <w:tcW w:w="1204" w:type="pct"/>
          </w:tcPr>
          <w:p w14:paraId="74D32514" w14:textId="77777777" w:rsidR="00310636" w:rsidRPr="00350FFF" w:rsidRDefault="00310636" w:rsidP="001679B5">
            <w:pPr>
              <w:rPr>
                <w:sz w:val="20"/>
                <w:szCs w:val="20"/>
              </w:rPr>
            </w:pPr>
            <w:r w:rsidRPr="00350FFF">
              <w:rPr>
                <w:sz w:val="20"/>
                <w:szCs w:val="20"/>
              </w:rPr>
              <w:t>Clock Accuracy</w:t>
            </w:r>
          </w:p>
        </w:tc>
        <w:tc>
          <w:tcPr>
            <w:tcW w:w="1296" w:type="pct"/>
          </w:tcPr>
          <w:p w14:paraId="63425485" w14:textId="77777777" w:rsidR="00310636" w:rsidRPr="00350FFF" w:rsidRDefault="00310636" w:rsidP="001679B5">
            <w:pPr>
              <w:rPr>
                <w:sz w:val="20"/>
                <w:szCs w:val="20"/>
              </w:rPr>
            </w:pPr>
            <w:r w:rsidRPr="00350FFF">
              <w:rPr>
                <w:sz w:val="20"/>
                <w:szCs w:val="20"/>
              </w:rPr>
              <w:t>Verify clock accuracy against a known accurate time standard</w:t>
            </w:r>
          </w:p>
        </w:tc>
        <w:tc>
          <w:tcPr>
            <w:tcW w:w="1280" w:type="pct"/>
          </w:tcPr>
          <w:p w14:paraId="02B14DA8" w14:textId="77777777" w:rsidR="00310636" w:rsidRPr="00350FFF" w:rsidRDefault="00310636" w:rsidP="001679B5">
            <w:pPr>
              <w:rPr>
                <w:sz w:val="20"/>
                <w:szCs w:val="20"/>
              </w:rPr>
            </w:pPr>
            <w:r w:rsidRPr="00350FFF">
              <w:rPr>
                <w:sz w:val="20"/>
                <w:szCs w:val="20"/>
              </w:rPr>
              <w:t>Minimally monthly, recommend each sampling event</w:t>
            </w:r>
          </w:p>
        </w:tc>
        <w:tc>
          <w:tcPr>
            <w:tcW w:w="1220" w:type="pct"/>
          </w:tcPr>
          <w:p w14:paraId="66FCE99D" w14:textId="77777777" w:rsidR="00310636" w:rsidRPr="00350FFF" w:rsidRDefault="00310636" w:rsidP="001679B5">
            <w:pPr>
              <w:rPr>
                <w:sz w:val="20"/>
                <w:szCs w:val="20"/>
              </w:rPr>
            </w:pPr>
            <w:r w:rsidRPr="00350FFF">
              <w:rPr>
                <w:sz w:val="20"/>
                <w:szCs w:val="20"/>
              </w:rPr>
              <w:t>Within ±5 minutes of the time standard</w:t>
            </w:r>
          </w:p>
        </w:tc>
      </w:tr>
      <w:tr w:rsidR="00310636" w:rsidRPr="00350FFF" w14:paraId="15178D6F" w14:textId="77777777" w:rsidTr="00FE48F7">
        <w:trPr>
          <w:cantSplit/>
        </w:trPr>
        <w:tc>
          <w:tcPr>
            <w:tcW w:w="1204" w:type="pct"/>
          </w:tcPr>
          <w:p w14:paraId="4E115370" w14:textId="77777777" w:rsidR="00310636" w:rsidRPr="00350FFF" w:rsidRDefault="00310636" w:rsidP="001679B5">
            <w:pPr>
              <w:rPr>
                <w:sz w:val="20"/>
                <w:szCs w:val="20"/>
              </w:rPr>
            </w:pPr>
            <w:r w:rsidRPr="00350FFF">
              <w:rPr>
                <w:sz w:val="20"/>
                <w:szCs w:val="20"/>
              </w:rPr>
              <w:t>Field Blank</w:t>
            </w:r>
          </w:p>
        </w:tc>
        <w:tc>
          <w:tcPr>
            <w:tcW w:w="1296" w:type="pct"/>
          </w:tcPr>
          <w:p w14:paraId="09BADF09" w14:textId="77777777" w:rsidR="00310636" w:rsidRPr="00350FFF" w:rsidRDefault="00310636" w:rsidP="001679B5">
            <w:pPr>
              <w:rPr>
                <w:sz w:val="20"/>
                <w:szCs w:val="20"/>
              </w:rPr>
            </w:pPr>
            <w:r>
              <w:rPr>
                <w:sz w:val="20"/>
                <w:szCs w:val="20"/>
              </w:rPr>
              <w:t>B</w:t>
            </w:r>
            <w:r w:rsidRPr="00350FFF">
              <w:rPr>
                <w:sz w:val="20"/>
                <w:szCs w:val="20"/>
              </w:rPr>
              <w:t>lank cartridge installed in a sampling channel for five to ten minutes</w:t>
            </w:r>
          </w:p>
        </w:tc>
        <w:tc>
          <w:tcPr>
            <w:tcW w:w="1280" w:type="pct"/>
          </w:tcPr>
          <w:p w14:paraId="610B0C99" w14:textId="77777777" w:rsidR="00310636" w:rsidRPr="00350FFF" w:rsidRDefault="00310636" w:rsidP="001679B5">
            <w:pPr>
              <w:rPr>
                <w:sz w:val="20"/>
                <w:szCs w:val="20"/>
              </w:rPr>
            </w:pPr>
            <w:r w:rsidRPr="00350FFF">
              <w:rPr>
                <w:sz w:val="20"/>
                <w:szCs w:val="20"/>
              </w:rPr>
              <w:t>Every other week</w:t>
            </w:r>
            <w:r>
              <w:rPr>
                <w:sz w:val="20"/>
                <w:szCs w:val="20"/>
              </w:rPr>
              <w:t xml:space="preserve"> during active monitoring</w:t>
            </w:r>
          </w:p>
        </w:tc>
        <w:tc>
          <w:tcPr>
            <w:tcW w:w="1220" w:type="pct"/>
          </w:tcPr>
          <w:p w14:paraId="7FEF297D" w14:textId="77777777" w:rsidR="00310636" w:rsidRPr="00DC3ED4" w:rsidRDefault="00310636" w:rsidP="001679B5">
            <w:pPr>
              <w:rPr>
                <w:sz w:val="20"/>
                <w:szCs w:val="20"/>
              </w:rPr>
            </w:pPr>
            <w:r w:rsidRPr="00DC3ED4">
              <w:rPr>
                <w:sz w:val="20"/>
                <w:szCs w:val="20"/>
              </w:rPr>
              <w:t xml:space="preserve">Compounds must meet criteria in </w:t>
            </w:r>
            <w:r>
              <w:rPr>
                <w:sz w:val="20"/>
                <w:szCs w:val="20"/>
              </w:rPr>
              <w:t xml:space="preserve">PAMS </w:t>
            </w:r>
            <w:r w:rsidRPr="00DC3ED4">
              <w:rPr>
                <w:sz w:val="20"/>
                <w:szCs w:val="20"/>
              </w:rPr>
              <w:t xml:space="preserve">TAD </w:t>
            </w:r>
            <w:r>
              <w:rPr>
                <w:sz w:val="20"/>
                <w:szCs w:val="20"/>
              </w:rPr>
              <w:t xml:space="preserve">Revision 2 </w:t>
            </w:r>
            <w:r w:rsidRPr="00DC3ED4">
              <w:rPr>
                <w:sz w:val="20"/>
                <w:szCs w:val="20"/>
              </w:rPr>
              <w:t xml:space="preserve">Table </w:t>
            </w:r>
            <w:r>
              <w:rPr>
                <w:sz w:val="20"/>
                <w:szCs w:val="20"/>
              </w:rPr>
              <w:t>5-4</w:t>
            </w:r>
          </w:p>
        </w:tc>
      </w:tr>
      <w:tr w:rsidR="00310636" w:rsidRPr="00350FFF" w14:paraId="6645C18B" w14:textId="77777777" w:rsidTr="00FE48F7">
        <w:trPr>
          <w:cantSplit/>
        </w:trPr>
        <w:tc>
          <w:tcPr>
            <w:tcW w:w="1204" w:type="pct"/>
          </w:tcPr>
          <w:p w14:paraId="439999E4" w14:textId="77777777" w:rsidR="00310636" w:rsidRPr="00350FFF" w:rsidRDefault="00310636" w:rsidP="001679B5">
            <w:pPr>
              <w:rPr>
                <w:sz w:val="20"/>
                <w:szCs w:val="20"/>
              </w:rPr>
            </w:pPr>
            <w:r w:rsidRPr="00350FFF">
              <w:rPr>
                <w:sz w:val="20"/>
                <w:szCs w:val="20"/>
              </w:rPr>
              <w:t>Trip Blank</w:t>
            </w:r>
          </w:p>
        </w:tc>
        <w:tc>
          <w:tcPr>
            <w:tcW w:w="1296" w:type="pct"/>
          </w:tcPr>
          <w:p w14:paraId="76B18D00" w14:textId="77777777" w:rsidR="00310636" w:rsidRPr="00350FFF" w:rsidRDefault="00310636" w:rsidP="001679B5">
            <w:pPr>
              <w:rPr>
                <w:sz w:val="20"/>
                <w:szCs w:val="20"/>
              </w:rPr>
            </w:pPr>
            <w:r>
              <w:rPr>
                <w:sz w:val="20"/>
                <w:szCs w:val="20"/>
              </w:rPr>
              <w:t>B</w:t>
            </w:r>
            <w:r w:rsidRPr="00350FFF">
              <w:rPr>
                <w:sz w:val="20"/>
                <w:szCs w:val="20"/>
              </w:rPr>
              <w:t>lank cartridge accompanying collected samples to and from the field site</w:t>
            </w:r>
          </w:p>
        </w:tc>
        <w:tc>
          <w:tcPr>
            <w:tcW w:w="1280" w:type="pct"/>
          </w:tcPr>
          <w:p w14:paraId="147B3CA7" w14:textId="77777777" w:rsidR="00310636" w:rsidRPr="00350FFF" w:rsidRDefault="00310636" w:rsidP="001679B5">
            <w:pPr>
              <w:rPr>
                <w:sz w:val="20"/>
                <w:szCs w:val="20"/>
              </w:rPr>
            </w:pPr>
            <w:r w:rsidRPr="00350FFF">
              <w:rPr>
                <w:sz w:val="20"/>
                <w:szCs w:val="20"/>
              </w:rPr>
              <w:t>Not required, recommended monthly</w:t>
            </w:r>
            <w:r>
              <w:rPr>
                <w:sz w:val="20"/>
                <w:szCs w:val="20"/>
              </w:rPr>
              <w:t xml:space="preserve"> during active monitoring</w:t>
            </w:r>
          </w:p>
        </w:tc>
        <w:tc>
          <w:tcPr>
            <w:tcW w:w="1220" w:type="pct"/>
          </w:tcPr>
          <w:p w14:paraId="56D28BB0" w14:textId="77777777" w:rsidR="00310636" w:rsidRPr="00DC3ED4" w:rsidRDefault="00310636" w:rsidP="001679B5">
            <w:pPr>
              <w:rPr>
                <w:sz w:val="20"/>
                <w:szCs w:val="20"/>
              </w:rPr>
            </w:pPr>
            <w:r w:rsidRPr="00DC3ED4">
              <w:rPr>
                <w:sz w:val="20"/>
                <w:szCs w:val="20"/>
              </w:rPr>
              <w:t xml:space="preserve">Compounds must meet criteria in </w:t>
            </w:r>
            <w:r>
              <w:rPr>
                <w:sz w:val="20"/>
                <w:szCs w:val="20"/>
              </w:rPr>
              <w:t xml:space="preserve">PAMS </w:t>
            </w:r>
            <w:r w:rsidRPr="00DC3ED4">
              <w:rPr>
                <w:sz w:val="20"/>
                <w:szCs w:val="20"/>
              </w:rPr>
              <w:t xml:space="preserve">TAD </w:t>
            </w:r>
            <w:r>
              <w:rPr>
                <w:sz w:val="20"/>
                <w:szCs w:val="20"/>
              </w:rPr>
              <w:t xml:space="preserve">Revision 2 </w:t>
            </w:r>
            <w:r w:rsidRPr="00DC3ED4">
              <w:rPr>
                <w:sz w:val="20"/>
                <w:szCs w:val="20"/>
              </w:rPr>
              <w:t xml:space="preserve">Table </w:t>
            </w:r>
            <w:r>
              <w:rPr>
                <w:sz w:val="20"/>
                <w:szCs w:val="20"/>
              </w:rPr>
              <w:t>5-2</w:t>
            </w:r>
          </w:p>
        </w:tc>
      </w:tr>
      <w:tr w:rsidR="00310636" w:rsidRPr="00350FFF" w14:paraId="7498BD49" w14:textId="77777777" w:rsidTr="00FE48F7">
        <w:trPr>
          <w:cantSplit/>
        </w:trPr>
        <w:tc>
          <w:tcPr>
            <w:tcW w:w="1204" w:type="pct"/>
          </w:tcPr>
          <w:p w14:paraId="1D1ECCD6" w14:textId="77777777" w:rsidR="00310636" w:rsidRPr="00350FFF" w:rsidRDefault="00310636" w:rsidP="001679B5">
            <w:pPr>
              <w:rPr>
                <w:sz w:val="20"/>
                <w:szCs w:val="20"/>
              </w:rPr>
            </w:pPr>
            <w:r w:rsidRPr="00350FFF">
              <w:rPr>
                <w:sz w:val="20"/>
                <w:szCs w:val="20"/>
              </w:rPr>
              <w:t>Ambient Sample Collection</w:t>
            </w:r>
          </w:p>
        </w:tc>
        <w:tc>
          <w:tcPr>
            <w:tcW w:w="1296" w:type="pct"/>
          </w:tcPr>
          <w:p w14:paraId="41A4F154" w14:textId="77777777" w:rsidR="00310636" w:rsidRPr="00350FFF" w:rsidRDefault="00310636" w:rsidP="001679B5">
            <w:pPr>
              <w:rPr>
                <w:sz w:val="20"/>
                <w:szCs w:val="20"/>
              </w:rPr>
            </w:pPr>
            <w:r>
              <w:rPr>
                <w:sz w:val="20"/>
                <w:szCs w:val="20"/>
              </w:rPr>
              <w:t>C</w:t>
            </w:r>
            <w:r w:rsidRPr="00350FFF">
              <w:rPr>
                <w:sz w:val="20"/>
                <w:szCs w:val="20"/>
              </w:rPr>
              <w:t>ollection of ambient air at a known flow</w:t>
            </w:r>
          </w:p>
        </w:tc>
        <w:tc>
          <w:tcPr>
            <w:tcW w:w="1280" w:type="pct"/>
          </w:tcPr>
          <w:p w14:paraId="6FCAF735" w14:textId="77777777" w:rsidR="00310636" w:rsidRPr="00350FFF" w:rsidRDefault="00310636" w:rsidP="001679B5">
            <w:pPr>
              <w:rPr>
                <w:sz w:val="20"/>
                <w:szCs w:val="20"/>
              </w:rPr>
            </w:pPr>
            <w:r>
              <w:rPr>
                <w:sz w:val="20"/>
                <w:szCs w:val="20"/>
              </w:rPr>
              <w:t>T</w:t>
            </w:r>
            <w:r w:rsidRPr="00350FFF">
              <w:rPr>
                <w:sz w:val="20"/>
                <w:szCs w:val="20"/>
              </w:rPr>
              <w:t>hree sequential 8-hour samples every 3</w:t>
            </w:r>
            <w:r w:rsidRPr="00350FFF">
              <w:rPr>
                <w:sz w:val="20"/>
                <w:szCs w:val="20"/>
                <w:vertAlign w:val="superscript"/>
              </w:rPr>
              <w:t>rd</w:t>
            </w:r>
            <w:r w:rsidRPr="00350FFF">
              <w:rPr>
                <w:sz w:val="20"/>
                <w:szCs w:val="20"/>
              </w:rPr>
              <w:t xml:space="preserve"> day per national sampling calendar</w:t>
            </w:r>
          </w:p>
        </w:tc>
        <w:tc>
          <w:tcPr>
            <w:tcW w:w="1220" w:type="pct"/>
          </w:tcPr>
          <w:p w14:paraId="587AA856" w14:textId="77777777" w:rsidR="00310636" w:rsidRPr="00350FFF" w:rsidRDefault="00310636" w:rsidP="001679B5">
            <w:pPr>
              <w:rPr>
                <w:sz w:val="20"/>
                <w:szCs w:val="20"/>
              </w:rPr>
            </w:pPr>
            <w:r w:rsidRPr="00350FFF">
              <w:rPr>
                <w:sz w:val="20"/>
                <w:szCs w:val="20"/>
              </w:rPr>
              <w:t>Sample collection must be for 8 hrs ± 20 minutes</w:t>
            </w:r>
          </w:p>
        </w:tc>
      </w:tr>
      <w:tr w:rsidR="00310636" w:rsidRPr="00350FFF" w14:paraId="65D94794" w14:textId="77777777" w:rsidTr="00FE48F7">
        <w:trPr>
          <w:cantSplit/>
        </w:trPr>
        <w:tc>
          <w:tcPr>
            <w:tcW w:w="1204" w:type="pct"/>
          </w:tcPr>
          <w:p w14:paraId="22A295C1" w14:textId="77777777" w:rsidR="00310636" w:rsidRPr="00350FFF" w:rsidRDefault="00310636" w:rsidP="001679B5">
            <w:pPr>
              <w:rPr>
                <w:sz w:val="20"/>
                <w:szCs w:val="20"/>
              </w:rPr>
            </w:pPr>
            <w:r w:rsidRPr="00350FFF">
              <w:rPr>
                <w:sz w:val="20"/>
                <w:szCs w:val="20"/>
              </w:rPr>
              <w:t>Sample Storage</w:t>
            </w:r>
          </w:p>
        </w:tc>
        <w:tc>
          <w:tcPr>
            <w:tcW w:w="1296" w:type="pct"/>
          </w:tcPr>
          <w:p w14:paraId="5257C6E2" w14:textId="77777777" w:rsidR="00310636" w:rsidRPr="00350FFF" w:rsidRDefault="00310636" w:rsidP="001679B5">
            <w:pPr>
              <w:rPr>
                <w:sz w:val="20"/>
                <w:szCs w:val="20"/>
              </w:rPr>
            </w:pPr>
            <w:r>
              <w:rPr>
                <w:sz w:val="20"/>
                <w:szCs w:val="20"/>
              </w:rPr>
              <w:t>C</w:t>
            </w:r>
            <w:r w:rsidRPr="00350FFF">
              <w:rPr>
                <w:sz w:val="20"/>
                <w:szCs w:val="20"/>
              </w:rPr>
              <w:t>artridges stored refrigerated and protected from light</w:t>
            </w:r>
          </w:p>
        </w:tc>
        <w:tc>
          <w:tcPr>
            <w:tcW w:w="1280" w:type="pct"/>
          </w:tcPr>
          <w:p w14:paraId="0C75A7AB" w14:textId="77777777" w:rsidR="00310636" w:rsidRPr="00350FFF" w:rsidRDefault="00310636" w:rsidP="001679B5">
            <w:pPr>
              <w:rPr>
                <w:sz w:val="20"/>
                <w:szCs w:val="20"/>
              </w:rPr>
            </w:pPr>
            <w:r>
              <w:rPr>
                <w:sz w:val="20"/>
                <w:szCs w:val="20"/>
              </w:rPr>
              <w:t>A</w:t>
            </w:r>
            <w:r w:rsidRPr="00350FFF">
              <w:rPr>
                <w:sz w:val="20"/>
                <w:szCs w:val="20"/>
              </w:rPr>
              <w:t>ll samples</w:t>
            </w:r>
          </w:p>
        </w:tc>
        <w:tc>
          <w:tcPr>
            <w:tcW w:w="1220" w:type="pct"/>
          </w:tcPr>
          <w:p w14:paraId="18ADFD40" w14:textId="77777777" w:rsidR="00310636" w:rsidRPr="00350FFF" w:rsidRDefault="00310636" w:rsidP="001679B5">
            <w:pPr>
              <w:rPr>
                <w:sz w:val="20"/>
                <w:szCs w:val="20"/>
              </w:rPr>
            </w:pPr>
            <w:r>
              <w:rPr>
                <w:sz w:val="20"/>
                <w:szCs w:val="20"/>
              </w:rPr>
              <w:t>S</w:t>
            </w:r>
            <w:r w:rsidRPr="00350FFF">
              <w:rPr>
                <w:sz w:val="20"/>
                <w:szCs w:val="20"/>
              </w:rPr>
              <w:t>torage and transport in foil pouch at ≤ 4°C</w:t>
            </w:r>
          </w:p>
        </w:tc>
      </w:tr>
    </w:tbl>
    <w:p w14:paraId="62EE57CC" w14:textId="77777777" w:rsidR="00FE48F7" w:rsidRDefault="00FE48F7" w:rsidP="00FE48F7">
      <w:pPr>
        <w:jc w:val="center"/>
        <w:rPr>
          <w:b/>
        </w:rPr>
      </w:pPr>
    </w:p>
    <w:p w14:paraId="56A303D6" w14:textId="0105D312" w:rsidR="00FE48F7" w:rsidRPr="00FE48F7" w:rsidRDefault="00FE48F7" w:rsidP="00FE48F7">
      <w:pPr>
        <w:jc w:val="center"/>
        <w:rPr>
          <w:b/>
        </w:rPr>
      </w:pPr>
      <w:r w:rsidRPr="00350FFF">
        <w:rPr>
          <w:b/>
        </w:rPr>
        <w:lastRenderedPageBreak/>
        <w:t xml:space="preserve">Table </w:t>
      </w:r>
      <w:r>
        <w:rPr>
          <w:b/>
        </w:rPr>
        <w:t>4</w:t>
      </w:r>
      <w:r w:rsidRPr="00350FFF">
        <w:rPr>
          <w:b/>
        </w:rPr>
        <w:t>.  Quality Control and Operational Parameters</w:t>
      </w:r>
      <w:r>
        <w:rPr>
          <w:b/>
        </w:rPr>
        <w:t xml:space="preserve"> (continued)</w:t>
      </w:r>
    </w:p>
    <w:tbl>
      <w:tblPr>
        <w:tblStyle w:val="TableGrid"/>
        <w:tblW w:w="5000" w:type="pct"/>
        <w:tblLook w:val="04A0" w:firstRow="1" w:lastRow="0" w:firstColumn="1" w:lastColumn="0" w:noHBand="0" w:noVBand="1"/>
      </w:tblPr>
      <w:tblGrid>
        <w:gridCol w:w="2078"/>
        <w:gridCol w:w="2237"/>
        <w:gridCol w:w="2209"/>
        <w:gridCol w:w="2106"/>
      </w:tblGrid>
      <w:tr w:rsidR="00FE48F7" w:rsidRPr="00350FFF" w14:paraId="589562D0" w14:textId="77777777" w:rsidTr="001679B5">
        <w:trPr>
          <w:cantSplit/>
        </w:trPr>
        <w:tc>
          <w:tcPr>
            <w:tcW w:w="1204" w:type="pct"/>
          </w:tcPr>
          <w:p w14:paraId="46D71D7B" w14:textId="77777777" w:rsidR="00FE48F7" w:rsidRPr="00350FFF" w:rsidRDefault="00FE48F7" w:rsidP="001679B5">
            <w:pPr>
              <w:rPr>
                <w:sz w:val="20"/>
                <w:szCs w:val="20"/>
              </w:rPr>
            </w:pPr>
            <w:r w:rsidRPr="00350FFF">
              <w:rPr>
                <w:sz w:val="20"/>
                <w:szCs w:val="20"/>
              </w:rPr>
              <w:t>Sample Retrieval</w:t>
            </w:r>
          </w:p>
        </w:tc>
        <w:tc>
          <w:tcPr>
            <w:tcW w:w="1296" w:type="pct"/>
          </w:tcPr>
          <w:p w14:paraId="4592D15F" w14:textId="77777777" w:rsidR="00FE48F7" w:rsidRPr="00350FFF" w:rsidRDefault="00FE48F7" w:rsidP="001679B5">
            <w:pPr>
              <w:rPr>
                <w:sz w:val="20"/>
                <w:szCs w:val="20"/>
              </w:rPr>
            </w:pPr>
            <w:r>
              <w:rPr>
                <w:sz w:val="20"/>
                <w:szCs w:val="20"/>
              </w:rPr>
              <w:t>S</w:t>
            </w:r>
            <w:r w:rsidRPr="00350FFF">
              <w:rPr>
                <w:sz w:val="20"/>
                <w:szCs w:val="20"/>
              </w:rPr>
              <w:t>amples are retrieved, capped, protected from light, and stored refrigerated</w:t>
            </w:r>
          </w:p>
        </w:tc>
        <w:tc>
          <w:tcPr>
            <w:tcW w:w="1280" w:type="pct"/>
          </w:tcPr>
          <w:p w14:paraId="2C77139D" w14:textId="77777777" w:rsidR="00FE48F7" w:rsidRPr="00350FFF" w:rsidRDefault="00FE48F7" w:rsidP="001679B5">
            <w:pPr>
              <w:rPr>
                <w:sz w:val="20"/>
                <w:szCs w:val="20"/>
              </w:rPr>
            </w:pPr>
            <w:r>
              <w:rPr>
                <w:sz w:val="20"/>
                <w:szCs w:val="20"/>
              </w:rPr>
              <w:t>E</w:t>
            </w:r>
            <w:r w:rsidRPr="00350FFF">
              <w:rPr>
                <w:sz w:val="20"/>
                <w:szCs w:val="20"/>
              </w:rPr>
              <w:t>ach sampling event</w:t>
            </w:r>
          </w:p>
        </w:tc>
        <w:tc>
          <w:tcPr>
            <w:tcW w:w="1220" w:type="pct"/>
          </w:tcPr>
          <w:p w14:paraId="6F38294D" w14:textId="77777777" w:rsidR="00FE48F7" w:rsidRPr="00350FFF" w:rsidRDefault="00FE48F7" w:rsidP="001679B5">
            <w:pPr>
              <w:rPr>
                <w:sz w:val="20"/>
                <w:szCs w:val="20"/>
              </w:rPr>
            </w:pPr>
            <w:r w:rsidRPr="00350FFF">
              <w:rPr>
                <w:sz w:val="20"/>
                <w:szCs w:val="20"/>
              </w:rPr>
              <w:t xml:space="preserve">within </w:t>
            </w:r>
            <w:r>
              <w:rPr>
                <w:sz w:val="20"/>
                <w:szCs w:val="20"/>
              </w:rPr>
              <w:t>72</w:t>
            </w:r>
            <w:r w:rsidRPr="00350FFF">
              <w:rPr>
                <w:sz w:val="20"/>
                <w:szCs w:val="20"/>
              </w:rPr>
              <w:t xml:space="preserve"> hours of end of 3</w:t>
            </w:r>
            <w:r w:rsidRPr="00350FFF">
              <w:rPr>
                <w:sz w:val="20"/>
                <w:szCs w:val="20"/>
                <w:vertAlign w:val="superscript"/>
              </w:rPr>
              <w:t>rd</w:t>
            </w:r>
            <w:r w:rsidRPr="00350FFF">
              <w:rPr>
                <w:sz w:val="20"/>
                <w:szCs w:val="20"/>
              </w:rPr>
              <w:t xml:space="preserve"> sequential sample (</w:t>
            </w:r>
            <w:r>
              <w:rPr>
                <w:sz w:val="20"/>
                <w:szCs w:val="20"/>
              </w:rPr>
              <w:t>20:00 to 04:00</w:t>
            </w:r>
            <w:r w:rsidRPr="00350FFF">
              <w:rPr>
                <w:sz w:val="20"/>
                <w:szCs w:val="20"/>
              </w:rPr>
              <w:t>)</w:t>
            </w:r>
          </w:p>
        </w:tc>
      </w:tr>
      <w:tr w:rsidR="00FE48F7" w:rsidRPr="00DC3ED4" w14:paraId="5AD7307E" w14:textId="77777777" w:rsidTr="001679B5">
        <w:trPr>
          <w:cantSplit/>
        </w:trPr>
        <w:tc>
          <w:tcPr>
            <w:tcW w:w="1204" w:type="pct"/>
          </w:tcPr>
          <w:p w14:paraId="75FC9881" w14:textId="77777777" w:rsidR="00FE48F7" w:rsidRPr="00350FFF" w:rsidRDefault="00FE48F7" w:rsidP="001679B5">
            <w:pPr>
              <w:rPr>
                <w:sz w:val="20"/>
                <w:szCs w:val="20"/>
              </w:rPr>
            </w:pPr>
            <w:r w:rsidRPr="00350FFF">
              <w:rPr>
                <w:sz w:val="20"/>
                <w:szCs w:val="20"/>
              </w:rPr>
              <w:t>Duplicate Sample Collection</w:t>
            </w:r>
          </w:p>
        </w:tc>
        <w:tc>
          <w:tcPr>
            <w:tcW w:w="1296" w:type="pct"/>
          </w:tcPr>
          <w:p w14:paraId="76738FFC" w14:textId="77777777" w:rsidR="00FE48F7" w:rsidRPr="00350FFF" w:rsidRDefault="00FE48F7" w:rsidP="001679B5">
            <w:pPr>
              <w:rPr>
                <w:sz w:val="20"/>
                <w:szCs w:val="20"/>
              </w:rPr>
            </w:pPr>
            <w:r>
              <w:rPr>
                <w:sz w:val="20"/>
                <w:szCs w:val="20"/>
              </w:rPr>
              <w:t>C</w:t>
            </w:r>
            <w:r w:rsidRPr="00350FFF">
              <w:rPr>
                <w:sz w:val="20"/>
                <w:szCs w:val="20"/>
              </w:rPr>
              <w:t xml:space="preserve">ollection of a separate sample cartridge concurrently </w:t>
            </w:r>
            <w:r>
              <w:rPr>
                <w:sz w:val="20"/>
                <w:szCs w:val="20"/>
              </w:rPr>
              <w:t xml:space="preserve">through a common inlet probe </w:t>
            </w:r>
            <w:r w:rsidRPr="00350FFF">
              <w:rPr>
                <w:sz w:val="20"/>
                <w:szCs w:val="20"/>
              </w:rPr>
              <w:t>with a primary 8-hour sample</w:t>
            </w:r>
          </w:p>
        </w:tc>
        <w:tc>
          <w:tcPr>
            <w:tcW w:w="1280" w:type="pct"/>
          </w:tcPr>
          <w:p w14:paraId="4A67B1F4" w14:textId="77777777" w:rsidR="00FE48F7" w:rsidRPr="00350FFF" w:rsidRDefault="00FE48F7" w:rsidP="001679B5">
            <w:pPr>
              <w:rPr>
                <w:sz w:val="20"/>
                <w:szCs w:val="20"/>
              </w:rPr>
            </w:pPr>
            <w:r w:rsidRPr="00350FFF">
              <w:rPr>
                <w:sz w:val="20"/>
                <w:szCs w:val="20"/>
              </w:rPr>
              <w:t xml:space="preserve">Optional – </w:t>
            </w:r>
            <w:r>
              <w:rPr>
                <w:sz w:val="20"/>
                <w:szCs w:val="20"/>
              </w:rPr>
              <w:t xml:space="preserve">recommended as </w:t>
            </w:r>
            <w:r w:rsidRPr="00350FFF">
              <w:rPr>
                <w:sz w:val="20"/>
                <w:szCs w:val="20"/>
              </w:rPr>
              <w:t>10% of primary sampling events</w:t>
            </w:r>
          </w:p>
        </w:tc>
        <w:tc>
          <w:tcPr>
            <w:tcW w:w="1220" w:type="pct"/>
          </w:tcPr>
          <w:p w14:paraId="0722BDC7" w14:textId="77777777" w:rsidR="00FE48F7" w:rsidRPr="00DC3ED4" w:rsidRDefault="00FE48F7" w:rsidP="001679B5">
            <w:pPr>
              <w:rPr>
                <w:sz w:val="20"/>
                <w:szCs w:val="20"/>
              </w:rPr>
            </w:pPr>
            <w:r w:rsidRPr="00DC3ED4">
              <w:rPr>
                <w:sz w:val="20"/>
                <w:szCs w:val="20"/>
              </w:rPr>
              <w:t>Relative percent difference ≤ 10% for compounds ≥ 0.5 µg/cartridge</w:t>
            </w:r>
          </w:p>
        </w:tc>
      </w:tr>
      <w:tr w:rsidR="00FE48F7" w:rsidRPr="00DC3ED4" w14:paraId="4D00F03B" w14:textId="77777777" w:rsidTr="001679B5">
        <w:trPr>
          <w:cantSplit/>
        </w:trPr>
        <w:tc>
          <w:tcPr>
            <w:tcW w:w="1204" w:type="pct"/>
          </w:tcPr>
          <w:p w14:paraId="0C6C2A44" w14:textId="77777777" w:rsidR="00FE48F7" w:rsidRPr="00350FFF" w:rsidRDefault="00FE48F7" w:rsidP="001679B5">
            <w:pPr>
              <w:rPr>
                <w:sz w:val="20"/>
                <w:szCs w:val="20"/>
              </w:rPr>
            </w:pPr>
            <w:r>
              <w:rPr>
                <w:sz w:val="20"/>
                <w:szCs w:val="20"/>
              </w:rPr>
              <w:t>Collocated Sample Collection</w:t>
            </w:r>
          </w:p>
        </w:tc>
        <w:tc>
          <w:tcPr>
            <w:tcW w:w="1296" w:type="pct"/>
          </w:tcPr>
          <w:p w14:paraId="2C9E3A09" w14:textId="77777777" w:rsidR="00FE48F7" w:rsidRPr="00350FFF" w:rsidRDefault="00FE48F7" w:rsidP="001679B5">
            <w:pPr>
              <w:rPr>
                <w:sz w:val="20"/>
                <w:szCs w:val="20"/>
              </w:rPr>
            </w:pPr>
            <w:r>
              <w:rPr>
                <w:sz w:val="20"/>
                <w:szCs w:val="20"/>
              </w:rPr>
              <w:t xml:space="preserve">Collection of a separate sample cartridge concurrently through an independent inlet probe with a primary 8-hour sample </w:t>
            </w:r>
          </w:p>
        </w:tc>
        <w:tc>
          <w:tcPr>
            <w:tcW w:w="1280" w:type="pct"/>
          </w:tcPr>
          <w:p w14:paraId="4D25421C" w14:textId="77777777" w:rsidR="00FE48F7" w:rsidRPr="00350FFF" w:rsidRDefault="00FE48F7" w:rsidP="001679B5">
            <w:pPr>
              <w:rPr>
                <w:sz w:val="20"/>
                <w:szCs w:val="20"/>
              </w:rPr>
            </w:pPr>
            <w:r w:rsidRPr="00350FFF">
              <w:rPr>
                <w:sz w:val="20"/>
                <w:szCs w:val="20"/>
              </w:rPr>
              <w:t xml:space="preserve">Optional – </w:t>
            </w:r>
            <w:r>
              <w:rPr>
                <w:sz w:val="20"/>
                <w:szCs w:val="20"/>
              </w:rPr>
              <w:t xml:space="preserve">recommended as </w:t>
            </w:r>
            <w:r w:rsidRPr="00350FFF">
              <w:rPr>
                <w:sz w:val="20"/>
                <w:szCs w:val="20"/>
              </w:rPr>
              <w:t>10% of primary sampling events</w:t>
            </w:r>
          </w:p>
        </w:tc>
        <w:tc>
          <w:tcPr>
            <w:tcW w:w="1220" w:type="pct"/>
          </w:tcPr>
          <w:p w14:paraId="29661A05" w14:textId="77777777" w:rsidR="00FE48F7" w:rsidRPr="00DC3ED4" w:rsidRDefault="00FE48F7" w:rsidP="001679B5">
            <w:pPr>
              <w:rPr>
                <w:sz w:val="20"/>
                <w:szCs w:val="20"/>
              </w:rPr>
            </w:pPr>
            <w:r w:rsidRPr="00DC3ED4">
              <w:rPr>
                <w:sz w:val="20"/>
                <w:szCs w:val="20"/>
              </w:rPr>
              <w:t>Relative percent difference ≤ 10% for compounds ≥ 0.5 µg/cartridge</w:t>
            </w:r>
          </w:p>
        </w:tc>
      </w:tr>
      <w:tr w:rsidR="00847A75" w:rsidRPr="00DC3ED4" w14:paraId="57E7CA28" w14:textId="77777777" w:rsidTr="001679B5">
        <w:trPr>
          <w:cantSplit/>
        </w:trPr>
        <w:tc>
          <w:tcPr>
            <w:tcW w:w="1204" w:type="pct"/>
          </w:tcPr>
          <w:p w14:paraId="7BABDE7B" w14:textId="3C9BD7E5" w:rsidR="00847A75" w:rsidRDefault="00847A75" w:rsidP="001679B5">
            <w:pPr>
              <w:rPr>
                <w:sz w:val="20"/>
                <w:szCs w:val="20"/>
              </w:rPr>
            </w:pPr>
            <w:r>
              <w:rPr>
                <w:sz w:val="20"/>
                <w:szCs w:val="20"/>
              </w:rPr>
              <w:t>Sample Retrieval</w:t>
            </w:r>
          </w:p>
        </w:tc>
        <w:tc>
          <w:tcPr>
            <w:tcW w:w="1296" w:type="pct"/>
          </w:tcPr>
          <w:p w14:paraId="0B8318B6" w14:textId="58AD5113" w:rsidR="00847A75" w:rsidRDefault="00847A75" w:rsidP="001679B5">
            <w:pPr>
              <w:rPr>
                <w:sz w:val="20"/>
                <w:szCs w:val="20"/>
              </w:rPr>
            </w:pPr>
            <w:r>
              <w:rPr>
                <w:sz w:val="20"/>
                <w:szCs w:val="20"/>
              </w:rPr>
              <w:t>Duration from end of sample collection to sample retrieval</w:t>
            </w:r>
          </w:p>
        </w:tc>
        <w:tc>
          <w:tcPr>
            <w:tcW w:w="1280" w:type="pct"/>
          </w:tcPr>
          <w:p w14:paraId="3F57B3B1" w14:textId="735AC9BE" w:rsidR="00847A75" w:rsidRPr="00350FFF" w:rsidRDefault="00847A75" w:rsidP="001679B5">
            <w:pPr>
              <w:rPr>
                <w:sz w:val="20"/>
                <w:szCs w:val="20"/>
              </w:rPr>
            </w:pPr>
            <w:r>
              <w:rPr>
                <w:sz w:val="20"/>
                <w:szCs w:val="20"/>
              </w:rPr>
              <w:t>Each field collected sample and QC sample</w:t>
            </w:r>
          </w:p>
        </w:tc>
        <w:tc>
          <w:tcPr>
            <w:tcW w:w="1220" w:type="pct"/>
          </w:tcPr>
          <w:p w14:paraId="22956246" w14:textId="6AC8B151" w:rsidR="00847A75" w:rsidRPr="00DC3ED4" w:rsidRDefault="00847A75" w:rsidP="001679B5">
            <w:pPr>
              <w:rPr>
                <w:sz w:val="20"/>
                <w:szCs w:val="20"/>
              </w:rPr>
            </w:pPr>
            <w:r>
              <w:rPr>
                <w:sz w:val="20"/>
                <w:szCs w:val="20"/>
              </w:rPr>
              <w:t>Preferably within 48 hours and not to exceed 72 hours from the end of collection</w:t>
            </w:r>
          </w:p>
        </w:tc>
      </w:tr>
      <w:tr w:rsidR="00847A75" w:rsidRPr="00DC3ED4" w14:paraId="59FE7B5C" w14:textId="77777777" w:rsidTr="001679B5">
        <w:trPr>
          <w:cantSplit/>
        </w:trPr>
        <w:tc>
          <w:tcPr>
            <w:tcW w:w="1204" w:type="pct"/>
          </w:tcPr>
          <w:p w14:paraId="69FE2BB4" w14:textId="33252E60" w:rsidR="00847A75" w:rsidRDefault="00847A75" w:rsidP="001679B5">
            <w:pPr>
              <w:rPr>
                <w:sz w:val="20"/>
                <w:szCs w:val="20"/>
              </w:rPr>
            </w:pPr>
            <w:r>
              <w:rPr>
                <w:sz w:val="20"/>
                <w:szCs w:val="20"/>
              </w:rPr>
              <w:t>Sample Holding Time</w:t>
            </w:r>
          </w:p>
        </w:tc>
        <w:tc>
          <w:tcPr>
            <w:tcW w:w="1296" w:type="pct"/>
          </w:tcPr>
          <w:p w14:paraId="56DF82B6" w14:textId="67B00A8C" w:rsidR="00847A75" w:rsidRDefault="00847A75" w:rsidP="001679B5">
            <w:pPr>
              <w:rPr>
                <w:sz w:val="20"/>
                <w:szCs w:val="20"/>
              </w:rPr>
            </w:pPr>
            <w:r>
              <w:rPr>
                <w:sz w:val="20"/>
                <w:szCs w:val="20"/>
              </w:rPr>
              <w:t>Duration from end of sample collection to extraction</w:t>
            </w:r>
          </w:p>
        </w:tc>
        <w:tc>
          <w:tcPr>
            <w:tcW w:w="1280" w:type="pct"/>
          </w:tcPr>
          <w:p w14:paraId="57A676A7" w14:textId="14294720" w:rsidR="00847A75" w:rsidRPr="00350FFF" w:rsidRDefault="00847A75" w:rsidP="001679B5">
            <w:pPr>
              <w:rPr>
                <w:sz w:val="20"/>
                <w:szCs w:val="20"/>
              </w:rPr>
            </w:pPr>
            <w:r>
              <w:rPr>
                <w:sz w:val="20"/>
                <w:szCs w:val="20"/>
              </w:rPr>
              <w:t>Each field-collected sample and QC sample</w:t>
            </w:r>
          </w:p>
        </w:tc>
        <w:tc>
          <w:tcPr>
            <w:tcW w:w="1220" w:type="pct"/>
          </w:tcPr>
          <w:p w14:paraId="2822CC25" w14:textId="7BA29D8E" w:rsidR="00847A75" w:rsidRPr="00DC3ED4" w:rsidRDefault="00847A75" w:rsidP="001679B5">
            <w:pPr>
              <w:rPr>
                <w:sz w:val="20"/>
                <w:szCs w:val="20"/>
              </w:rPr>
            </w:pPr>
            <w:r>
              <w:rPr>
                <w:sz w:val="20"/>
                <w:szCs w:val="20"/>
              </w:rPr>
              <w:t>14 days from end of collection to extraction</w:t>
            </w:r>
          </w:p>
        </w:tc>
      </w:tr>
      <w:bookmarkEnd w:id="4"/>
    </w:tbl>
    <w:p w14:paraId="24BEEC17" w14:textId="77777777" w:rsidR="009307D7" w:rsidRDefault="009307D7" w:rsidP="000B2054"/>
    <w:p w14:paraId="4B73F756" w14:textId="77777777" w:rsidR="00E80AA0" w:rsidRPr="002F63F5" w:rsidRDefault="00E80AA0" w:rsidP="009119D6">
      <w:pPr>
        <w:pStyle w:val="ListParagraph"/>
        <w:numPr>
          <w:ilvl w:val="0"/>
          <w:numId w:val="9"/>
        </w:numPr>
        <w:ind w:left="360"/>
        <w:rPr>
          <w:b/>
        </w:rPr>
      </w:pPr>
      <w:bookmarkStart w:id="5" w:name="_Hlk28680803"/>
      <w:r w:rsidRPr="002F63F5">
        <w:rPr>
          <w:b/>
        </w:rPr>
        <w:t>REFERENCES</w:t>
      </w:r>
      <w:r w:rsidR="009119D6" w:rsidRPr="002F63F5">
        <w:rPr>
          <w:b/>
        </w:rPr>
        <w:br/>
      </w:r>
    </w:p>
    <w:bookmarkEnd w:id="5"/>
    <w:p w14:paraId="065665BF" w14:textId="77777777" w:rsidR="00166F9C" w:rsidRPr="009119D6" w:rsidRDefault="00166F9C" w:rsidP="00166F9C">
      <w:pPr>
        <w:pStyle w:val="ListParagraph"/>
        <w:numPr>
          <w:ilvl w:val="1"/>
          <w:numId w:val="9"/>
        </w:numPr>
        <w:spacing w:after="120"/>
        <w:ind w:left="720"/>
        <w:contextualSpacing w:val="0"/>
        <w:rPr>
          <w:color w:val="0563C1" w:themeColor="hyperlink"/>
          <w:u w:val="single"/>
        </w:rPr>
      </w:pPr>
      <w:r w:rsidRPr="009119D6">
        <w:t>U.S. EPA</w:t>
      </w:r>
      <w:r>
        <w:t>.</w:t>
      </w:r>
      <w:r w:rsidRPr="009119D6">
        <w:t xml:space="preserve"> </w:t>
      </w:r>
      <w:r>
        <w:t xml:space="preserve">Compendium Method </w:t>
      </w:r>
      <w:r w:rsidRPr="009119D6">
        <w:t xml:space="preserve">TO-11A, Determination of Formaldehyde in Ambient Air using Adsorbent </w:t>
      </w:r>
      <w:r w:rsidRPr="00215E06">
        <w:t xml:space="preserve">Cartridge followed by High Performance Liquid Chromatography (HPLC).  </w:t>
      </w:r>
      <w:r>
        <w:t xml:space="preserve">EPA/625/R-96/010b.  </w:t>
      </w:r>
      <w:r w:rsidRPr="00215E06">
        <w:t>Available at</w:t>
      </w:r>
      <w:r>
        <w:t xml:space="preserve"> (accessed December 2019):</w:t>
      </w:r>
      <w:r w:rsidRPr="00215E06">
        <w:t xml:space="preserve"> </w:t>
      </w:r>
      <w:hyperlink r:id="rId10" w:history="1">
        <w:r w:rsidRPr="00242962">
          <w:rPr>
            <w:rStyle w:val="Hyperlink"/>
          </w:rPr>
          <w:t>http://www.epa.gov/ttn/amtic/files/ambient/airtox/to-11ar.pdf</w:t>
        </w:r>
      </w:hyperlink>
    </w:p>
    <w:p w14:paraId="3B8A11A6" w14:textId="77777777" w:rsidR="00166F9C" w:rsidRDefault="00166F9C" w:rsidP="00166F9C">
      <w:pPr>
        <w:pStyle w:val="ListParagraph"/>
        <w:numPr>
          <w:ilvl w:val="1"/>
          <w:numId w:val="9"/>
        </w:numPr>
        <w:spacing w:after="120"/>
        <w:ind w:left="720"/>
        <w:contextualSpacing w:val="0"/>
      </w:pPr>
      <w:r>
        <w:t xml:space="preserve">40 CFR Part 58 Appendix D. Available at (accessed December 2019): </w:t>
      </w:r>
      <w:hyperlink r:id="rId11" w:anchor="ap40.6.58.0000_0nbspnbspnbsp.d" w:history="1">
        <w:r w:rsidRPr="00094BD7">
          <w:rPr>
            <w:rStyle w:val="Hyperlink"/>
          </w:rPr>
          <w:t>https://ecfr.io/Title-40/pt40.6.58#ap40.6.58.0000_0nbspnbspnbsp.d</w:t>
        </w:r>
      </w:hyperlink>
    </w:p>
    <w:p w14:paraId="3AD3EF29" w14:textId="77777777" w:rsidR="00166F9C" w:rsidRDefault="00166F9C" w:rsidP="00166F9C">
      <w:pPr>
        <w:pStyle w:val="ListParagraph"/>
        <w:numPr>
          <w:ilvl w:val="1"/>
          <w:numId w:val="9"/>
        </w:numPr>
        <w:spacing w:after="120"/>
        <w:ind w:left="720"/>
        <w:contextualSpacing w:val="0"/>
      </w:pPr>
      <w:r>
        <w:t xml:space="preserve">40 CFR Part 58 Appendix E. Available at (accessed December 2019): </w:t>
      </w:r>
      <w:hyperlink r:id="rId12" w:anchor="ap40.6.58.0000_0nbspnbspnbsp.e" w:history="1">
        <w:r w:rsidRPr="00094BD7">
          <w:rPr>
            <w:rStyle w:val="Hyperlink"/>
          </w:rPr>
          <w:t>https://ecfr.io/Title-40/pt40.6.58#ap40.6.58.0000_0nbspnbspnbsp.e</w:t>
        </w:r>
      </w:hyperlink>
    </w:p>
    <w:p w14:paraId="6F8ADA46" w14:textId="77777777" w:rsidR="00166F9C" w:rsidRDefault="00166F9C" w:rsidP="00166F9C">
      <w:pPr>
        <w:pStyle w:val="ListParagraph"/>
        <w:numPr>
          <w:ilvl w:val="1"/>
          <w:numId w:val="9"/>
        </w:numPr>
        <w:spacing w:after="120"/>
        <w:ind w:left="720"/>
        <w:contextualSpacing w:val="0"/>
      </w:pPr>
      <w:r>
        <w:t xml:space="preserve">Supelco </w:t>
      </w:r>
      <w:proofErr w:type="spellStart"/>
      <w:r>
        <w:t>LpDNPH</w:t>
      </w:r>
      <w:proofErr w:type="spellEnd"/>
      <w:r>
        <w:t xml:space="preserve"> S10, S10x, S10L Cartridges Product Specification Sheet T495028B, Sigma-Aldrich 1997. Available at (accessed December 2019): </w:t>
      </w:r>
      <w:hyperlink r:id="rId13" w:history="1">
        <w:r w:rsidRPr="00337B50">
          <w:rPr>
            <w:rStyle w:val="Hyperlink"/>
          </w:rPr>
          <w:t>https://www.sigmaaldrich.com/content/dam/sigma-aldrich/docs/Supelco/Product_Information_Sheet/4727.pdf</w:t>
        </w:r>
      </w:hyperlink>
      <w:r w:rsidRPr="00AA054F">
        <w:t xml:space="preserve"> </w:t>
      </w:r>
    </w:p>
    <w:p w14:paraId="3CE49C3A" w14:textId="77777777" w:rsidR="00166F9C" w:rsidRDefault="00166F9C" w:rsidP="00166F9C">
      <w:pPr>
        <w:pStyle w:val="ListParagraph"/>
        <w:numPr>
          <w:ilvl w:val="1"/>
          <w:numId w:val="9"/>
        </w:numPr>
        <w:spacing w:after="120"/>
        <w:ind w:left="720"/>
        <w:contextualSpacing w:val="0"/>
      </w:pPr>
      <w:r>
        <w:t xml:space="preserve">Waters Sep-Pak DNPH-Silica Cartridge Care and Use Manual, WAT037506 Rev B, Waters Corporation, March 2009.  Available at (accessed December 2019): </w:t>
      </w:r>
      <w:hyperlink r:id="rId14" w:history="1">
        <w:r w:rsidRPr="00337B50">
          <w:rPr>
            <w:rStyle w:val="Hyperlink"/>
          </w:rPr>
          <w:t>https://www.waters.com/webassets/cms/support/docs/wat037506.pdf</w:t>
        </w:r>
      </w:hyperlink>
    </w:p>
    <w:p w14:paraId="294A2D05" w14:textId="77777777" w:rsidR="00166F9C" w:rsidRDefault="00166F9C" w:rsidP="00166F9C">
      <w:pPr>
        <w:pStyle w:val="ListParagraph"/>
        <w:numPr>
          <w:ilvl w:val="1"/>
          <w:numId w:val="9"/>
        </w:numPr>
        <w:spacing w:after="120"/>
        <w:ind w:left="720"/>
        <w:contextualSpacing w:val="0"/>
      </w:pPr>
      <w:r>
        <w:t xml:space="preserve">U.S. EPA. Technical Assistance Document for Sampling and Analysis of Ozone Precursors for the Photochemical Assessment Monitoring Stations Program, Revision 2, April 2019.  EPA-454/B-19-004.  Available at (accessed December 2019):  </w:t>
      </w:r>
      <w:hyperlink r:id="rId15" w:history="1">
        <w:r w:rsidRPr="00094BD7">
          <w:rPr>
            <w:rStyle w:val="Hyperlink"/>
          </w:rPr>
          <w:t>https://www.epa.gov/amtic/pams-technical-assistance-document-tad</w:t>
        </w:r>
      </w:hyperlink>
    </w:p>
    <w:p w14:paraId="1DADEB64" w14:textId="77777777" w:rsidR="00166F9C" w:rsidRDefault="00166F9C" w:rsidP="00166F9C">
      <w:pPr>
        <w:pStyle w:val="ListParagraph"/>
        <w:numPr>
          <w:ilvl w:val="1"/>
          <w:numId w:val="9"/>
        </w:numPr>
        <w:spacing w:after="120"/>
        <w:ind w:left="720"/>
        <w:contextualSpacing w:val="0"/>
      </w:pPr>
      <w:r>
        <w:lastRenderedPageBreak/>
        <w:t xml:space="preserve">Model 8000 Automated Sampler Operations and Maintenance Manual Version 20.00, March 19, 2014, ATEC. Available at (accessed December 2019): </w:t>
      </w:r>
      <w:hyperlink r:id="rId16" w:history="1">
        <w:r w:rsidRPr="00094BD7">
          <w:rPr>
            <w:rStyle w:val="Hyperlink"/>
          </w:rPr>
          <w:t>http://www.atec-online.com/linked/8000_manual_freescale.pdf</w:t>
        </w:r>
      </w:hyperlink>
      <w:r>
        <w:t xml:space="preserve"> </w:t>
      </w:r>
    </w:p>
    <w:p w14:paraId="342C1540" w14:textId="77777777" w:rsidR="00166F9C" w:rsidRDefault="00166F9C" w:rsidP="00166F9C">
      <w:pPr>
        <w:pStyle w:val="ListParagraph"/>
        <w:numPr>
          <w:ilvl w:val="1"/>
          <w:numId w:val="9"/>
        </w:numPr>
        <w:spacing w:after="120"/>
        <w:ind w:left="720"/>
        <w:contextualSpacing w:val="0"/>
      </w:pPr>
      <w:r>
        <w:t>U.S. EPA. Additional Revisions to the Photochemical Assessment Monitoring Stations Compound Target List. October 2, 2017.  Available at (accessed December 2019):</w:t>
      </w:r>
      <w:r>
        <w:br/>
      </w:r>
      <w:hyperlink r:id="rId17" w:history="1">
        <w:r w:rsidRPr="00094BD7">
          <w:rPr>
            <w:rStyle w:val="Hyperlink"/>
            <w:rFonts w:ascii="TimesNewRomanPSMT" w:hAnsi="TimesNewRomanPSMT" w:cs="TimesNewRomanPSMT"/>
          </w:rPr>
          <w:t>https://www3.epa.gov/ttnamti1/files/ambient/pams/targetlist.pdf</w:t>
        </w:r>
      </w:hyperlink>
      <w:r>
        <w:t xml:space="preserve"> </w:t>
      </w:r>
    </w:p>
    <w:p w14:paraId="1A37FB63" w14:textId="77777777" w:rsidR="00166F9C" w:rsidRDefault="00166F9C" w:rsidP="00166F9C">
      <w:pPr>
        <w:pStyle w:val="ListParagraph"/>
        <w:numPr>
          <w:ilvl w:val="1"/>
          <w:numId w:val="9"/>
        </w:numPr>
        <w:spacing w:after="120"/>
        <w:ind w:left="720"/>
        <w:contextualSpacing w:val="0"/>
      </w:pPr>
      <w:r>
        <w:t>Tisch 3 Channel Carbonyl Sampler Operation Manual, Revision 1, February 8, 2008.</w:t>
      </w:r>
      <w:r w:rsidRPr="007C4108">
        <w:t xml:space="preserve"> </w:t>
      </w:r>
      <w:r>
        <w:t>Available at (accessed December 2019):</w:t>
      </w:r>
      <w:r>
        <w:br/>
      </w:r>
      <w:hyperlink r:id="rId18" w:history="1">
        <w:r w:rsidRPr="00094BD7">
          <w:rPr>
            <w:rStyle w:val="Hyperlink"/>
          </w:rPr>
          <w:t>https://tisch-env.com/wp-content/uploads/2015/07/TE-423-Carbonyl-Sampler.pdf</w:t>
        </w:r>
      </w:hyperlink>
    </w:p>
    <w:p w14:paraId="70B3D536" w14:textId="77777777" w:rsidR="00166F9C" w:rsidRPr="007C4108" w:rsidRDefault="00166F9C" w:rsidP="00166F9C">
      <w:pPr>
        <w:pStyle w:val="ListParagraph"/>
        <w:numPr>
          <w:ilvl w:val="1"/>
          <w:numId w:val="9"/>
        </w:numPr>
        <w:spacing w:after="120"/>
        <w:ind w:left="720"/>
        <w:contextualSpacing w:val="0"/>
        <w:rPr>
          <w:color w:val="0563C1" w:themeColor="hyperlink"/>
          <w:u w:val="single"/>
        </w:rPr>
      </w:pPr>
      <w:r w:rsidRPr="007C4108">
        <w:t>ASTM D5197-16, Standard Test Method for Determination of Formaldehyde and Other Carbonyl Compounds in Air (Active Sampler Methodology), ASTM International, West Conshohocken, PA, 2016</w:t>
      </w:r>
      <w:r>
        <w:t xml:space="preserve">. Available at (accessed December 2019):  </w:t>
      </w:r>
      <w:hyperlink r:id="rId19" w:history="1">
        <w:r w:rsidRPr="00094BD7">
          <w:rPr>
            <w:rStyle w:val="Hyperlink"/>
          </w:rPr>
          <w:t>http://www.astm.org/cgi-bin/resolver.cgi?D5197</w:t>
        </w:r>
      </w:hyperlink>
      <w:r w:rsidRPr="007C4108">
        <w:t xml:space="preserve"> </w:t>
      </w:r>
    </w:p>
    <w:p w14:paraId="3E076710" w14:textId="77777777" w:rsidR="00166F9C" w:rsidRDefault="00166F9C" w:rsidP="00166F9C">
      <w:pPr>
        <w:pStyle w:val="ListParagraph"/>
        <w:numPr>
          <w:ilvl w:val="1"/>
          <w:numId w:val="9"/>
        </w:numPr>
        <w:spacing w:after="120"/>
        <w:ind w:left="720"/>
        <w:contextualSpacing w:val="0"/>
      </w:pPr>
      <w:r w:rsidRPr="00846B6C">
        <w:t>ISO Guide 31:2015 Reference materials — Contents of certificates, labels and accompanying documentation. Geneva: International Organization for Standardization. 2015.</w:t>
      </w:r>
    </w:p>
    <w:p w14:paraId="1A96A2B5" w14:textId="77777777" w:rsidR="000B5D4D" w:rsidRDefault="000B5D4D" w:rsidP="000B5D4D">
      <w:pPr>
        <w:ind w:left="720"/>
      </w:pPr>
    </w:p>
    <w:sectPr w:rsidR="000B5D4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C271" w14:textId="77777777" w:rsidR="00DA4FCF" w:rsidRDefault="00DA4FCF" w:rsidP="0058319F">
      <w:r>
        <w:separator/>
      </w:r>
    </w:p>
  </w:endnote>
  <w:endnote w:type="continuationSeparator" w:id="0">
    <w:p w14:paraId="0B4F54E1" w14:textId="77777777" w:rsidR="00DA4FCF" w:rsidRDefault="00DA4FCF" w:rsidP="005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A770" w14:textId="77777777" w:rsidR="00DA4FCF" w:rsidRDefault="00DA4FCF" w:rsidP="0058319F">
      <w:r>
        <w:separator/>
      </w:r>
    </w:p>
  </w:footnote>
  <w:footnote w:type="continuationSeparator" w:id="0">
    <w:p w14:paraId="46745035" w14:textId="77777777" w:rsidR="00DA4FCF" w:rsidRDefault="00DA4FCF" w:rsidP="0058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25DF" w14:textId="77777777" w:rsidR="001679B5" w:rsidRDefault="001679B5" w:rsidP="00CE3A32">
    <w:pPr>
      <w:pStyle w:val="Header"/>
      <w:rPr>
        <w:sz w:val="18"/>
        <w:szCs w:val="18"/>
      </w:rPr>
    </w:pPr>
    <w:r>
      <w:rPr>
        <w:sz w:val="18"/>
        <w:szCs w:val="18"/>
      </w:rPr>
      <w:t>Carbonyls Collection</w:t>
    </w:r>
    <w:r w:rsidRPr="00A70247">
      <w:rPr>
        <w:sz w:val="18"/>
        <w:szCs w:val="18"/>
      </w:rPr>
      <w:t xml:space="preserve"> SOP</w:t>
    </w:r>
    <w:r w:rsidRPr="00A70247">
      <w:rPr>
        <w:sz w:val="18"/>
        <w:szCs w:val="18"/>
      </w:rPr>
      <w:tab/>
    </w:r>
    <w:r w:rsidRPr="00A70247">
      <w:rPr>
        <w:sz w:val="18"/>
        <w:szCs w:val="18"/>
      </w:rPr>
      <w:tab/>
      <w:t xml:space="preserve">Page </w:t>
    </w:r>
    <w:r w:rsidRPr="00A70247">
      <w:rPr>
        <w:bCs/>
        <w:sz w:val="18"/>
        <w:szCs w:val="18"/>
      </w:rPr>
      <w:fldChar w:fldCharType="begin"/>
    </w:r>
    <w:r w:rsidRPr="00A70247">
      <w:rPr>
        <w:bCs/>
        <w:sz w:val="18"/>
        <w:szCs w:val="18"/>
      </w:rPr>
      <w:instrText xml:space="preserve"> PAGE  \* Arabic  \* MERGEFORMAT </w:instrText>
    </w:r>
    <w:r w:rsidRPr="00A70247">
      <w:rPr>
        <w:bCs/>
        <w:sz w:val="18"/>
        <w:szCs w:val="18"/>
      </w:rPr>
      <w:fldChar w:fldCharType="separate"/>
    </w:r>
    <w:r>
      <w:rPr>
        <w:bCs/>
        <w:noProof/>
        <w:sz w:val="18"/>
        <w:szCs w:val="18"/>
      </w:rPr>
      <w:t>10</w:t>
    </w:r>
    <w:r w:rsidRPr="00A70247">
      <w:rPr>
        <w:bCs/>
        <w:sz w:val="18"/>
        <w:szCs w:val="18"/>
      </w:rPr>
      <w:fldChar w:fldCharType="end"/>
    </w:r>
    <w:r w:rsidRPr="00A70247">
      <w:rPr>
        <w:sz w:val="18"/>
        <w:szCs w:val="18"/>
      </w:rPr>
      <w:t xml:space="preserve"> of </w:t>
    </w:r>
    <w:r w:rsidRPr="00A70247">
      <w:rPr>
        <w:bCs/>
        <w:sz w:val="18"/>
        <w:szCs w:val="18"/>
      </w:rPr>
      <w:fldChar w:fldCharType="begin"/>
    </w:r>
    <w:r w:rsidRPr="00A70247">
      <w:rPr>
        <w:bCs/>
        <w:sz w:val="18"/>
        <w:szCs w:val="18"/>
      </w:rPr>
      <w:instrText xml:space="preserve"> NUMPAGES  \* Arabic  \* MERGEFORMAT </w:instrText>
    </w:r>
    <w:r w:rsidRPr="00A70247">
      <w:rPr>
        <w:bCs/>
        <w:sz w:val="18"/>
        <w:szCs w:val="18"/>
      </w:rPr>
      <w:fldChar w:fldCharType="separate"/>
    </w:r>
    <w:r>
      <w:rPr>
        <w:bCs/>
        <w:noProof/>
        <w:sz w:val="18"/>
        <w:szCs w:val="18"/>
      </w:rPr>
      <w:t>15</w:t>
    </w:r>
    <w:r w:rsidRPr="00A70247">
      <w:rPr>
        <w:bCs/>
        <w:sz w:val="18"/>
        <w:szCs w:val="18"/>
      </w:rPr>
      <w:fldChar w:fldCharType="end"/>
    </w:r>
    <w:r w:rsidRPr="00A70247">
      <w:rPr>
        <w:sz w:val="18"/>
        <w:szCs w:val="18"/>
      </w:rPr>
      <w:br/>
      <w:t>PAMS Required Site Network</w:t>
    </w:r>
    <w:r>
      <w:rPr>
        <w:sz w:val="18"/>
        <w:szCs w:val="18"/>
      </w:rPr>
      <w:tab/>
    </w:r>
    <w:r>
      <w:rPr>
        <w:sz w:val="18"/>
        <w:szCs w:val="18"/>
      </w:rPr>
      <w:tab/>
      <w:t>Version 1.0</w:t>
    </w:r>
  </w:p>
  <w:p w14:paraId="3055124B" w14:textId="6770D142" w:rsidR="001679B5" w:rsidRPr="00A70247" w:rsidRDefault="001679B5" w:rsidP="00CE3A32">
    <w:pPr>
      <w:pStyle w:val="Header"/>
      <w:rPr>
        <w:sz w:val="18"/>
        <w:szCs w:val="18"/>
      </w:rPr>
    </w:pPr>
    <w:r>
      <w:rPr>
        <w:sz w:val="18"/>
        <w:szCs w:val="18"/>
      </w:rPr>
      <w:tab/>
    </w:r>
    <w:r>
      <w:rPr>
        <w:sz w:val="18"/>
        <w:szCs w:val="18"/>
      </w:rPr>
      <w:tab/>
    </w:r>
    <w:r w:rsidR="00B6420E">
      <w:rPr>
        <w:sz w:val="18"/>
        <w:szCs w:val="18"/>
      </w:rPr>
      <w:t>January 2020</w:t>
    </w:r>
  </w:p>
  <w:p w14:paraId="4AABA43B" w14:textId="77777777" w:rsidR="001679B5" w:rsidRDefault="0016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115"/>
    <w:multiLevelType w:val="hybridMultilevel"/>
    <w:tmpl w:val="C5E8E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64F2"/>
    <w:multiLevelType w:val="hybridMultilevel"/>
    <w:tmpl w:val="5D7264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6BC8"/>
    <w:multiLevelType w:val="hybridMultilevel"/>
    <w:tmpl w:val="3A18FF66"/>
    <w:lvl w:ilvl="0" w:tplc="15C474CC">
      <w:start w:val="9"/>
      <w:numFmt w:val="upperLetter"/>
      <w:lvlText w:val="%1."/>
      <w:lvlJc w:val="left"/>
      <w:pPr>
        <w:ind w:left="1440" w:hanging="360"/>
      </w:pPr>
      <w:rPr>
        <w:rFonts w:hint="default"/>
      </w:rPr>
    </w:lvl>
    <w:lvl w:ilvl="1" w:tplc="84149208">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1CE9"/>
    <w:multiLevelType w:val="hybridMultilevel"/>
    <w:tmpl w:val="913E61C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C3BED"/>
    <w:multiLevelType w:val="hybridMultilevel"/>
    <w:tmpl w:val="7824931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47109"/>
    <w:multiLevelType w:val="hybridMultilevel"/>
    <w:tmpl w:val="63CA96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C58"/>
    <w:multiLevelType w:val="hybridMultilevel"/>
    <w:tmpl w:val="DD22F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84912"/>
    <w:multiLevelType w:val="hybridMultilevel"/>
    <w:tmpl w:val="F3349A96"/>
    <w:lvl w:ilvl="0" w:tplc="0409000F">
      <w:start w:val="1"/>
      <w:numFmt w:val="decimal"/>
      <w:lvlText w:val="%1."/>
      <w:lvlJc w:val="left"/>
      <w:pPr>
        <w:ind w:left="1440" w:hanging="360"/>
      </w:pPr>
    </w:lvl>
    <w:lvl w:ilvl="1" w:tplc="A70E6714">
      <w:start w:val="5"/>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765242"/>
    <w:multiLevelType w:val="hybridMultilevel"/>
    <w:tmpl w:val="FBAED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6E041E"/>
    <w:multiLevelType w:val="hybridMultilevel"/>
    <w:tmpl w:val="24320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7"/>
  </w:num>
  <w:num w:numId="6">
    <w:abstractNumId w:val="3"/>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9F"/>
    <w:rsid w:val="00000298"/>
    <w:rsid w:val="000012DE"/>
    <w:rsid w:val="00017170"/>
    <w:rsid w:val="00031B80"/>
    <w:rsid w:val="00035F82"/>
    <w:rsid w:val="00052527"/>
    <w:rsid w:val="00065149"/>
    <w:rsid w:val="000824B4"/>
    <w:rsid w:val="00085EEF"/>
    <w:rsid w:val="00087188"/>
    <w:rsid w:val="000920BE"/>
    <w:rsid w:val="0009419E"/>
    <w:rsid w:val="000A632A"/>
    <w:rsid w:val="000A728E"/>
    <w:rsid w:val="000B2054"/>
    <w:rsid w:val="000B5D4D"/>
    <w:rsid w:val="000D0172"/>
    <w:rsid w:val="000E171F"/>
    <w:rsid w:val="00104250"/>
    <w:rsid w:val="0011064E"/>
    <w:rsid w:val="001110B8"/>
    <w:rsid w:val="001133AD"/>
    <w:rsid w:val="0012285A"/>
    <w:rsid w:val="00137A51"/>
    <w:rsid w:val="00165137"/>
    <w:rsid w:val="00166F9C"/>
    <w:rsid w:val="001679B5"/>
    <w:rsid w:val="00184AF1"/>
    <w:rsid w:val="001A1A2C"/>
    <w:rsid w:val="001A4D43"/>
    <w:rsid w:val="001C7A7A"/>
    <w:rsid w:val="001E0728"/>
    <w:rsid w:val="001E191E"/>
    <w:rsid w:val="001F5D2C"/>
    <w:rsid w:val="0020729D"/>
    <w:rsid w:val="002111EF"/>
    <w:rsid w:val="00215E06"/>
    <w:rsid w:val="002174A6"/>
    <w:rsid w:val="002212A6"/>
    <w:rsid w:val="0022222C"/>
    <w:rsid w:val="0023569E"/>
    <w:rsid w:val="0026005B"/>
    <w:rsid w:val="002701A4"/>
    <w:rsid w:val="00274619"/>
    <w:rsid w:val="0028132F"/>
    <w:rsid w:val="00297855"/>
    <w:rsid w:val="002A2672"/>
    <w:rsid w:val="002B5947"/>
    <w:rsid w:val="002B5E25"/>
    <w:rsid w:val="002B66AB"/>
    <w:rsid w:val="002C1F84"/>
    <w:rsid w:val="002C2FA9"/>
    <w:rsid w:val="002D4D34"/>
    <w:rsid w:val="002E71B6"/>
    <w:rsid w:val="002F0EC1"/>
    <w:rsid w:val="002F421F"/>
    <w:rsid w:val="002F63F5"/>
    <w:rsid w:val="00310636"/>
    <w:rsid w:val="0032665C"/>
    <w:rsid w:val="0032693A"/>
    <w:rsid w:val="00340339"/>
    <w:rsid w:val="00350FFF"/>
    <w:rsid w:val="0037446B"/>
    <w:rsid w:val="003A6718"/>
    <w:rsid w:val="003A683F"/>
    <w:rsid w:val="003B41B1"/>
    <w:rsid w:val="003F4082"/>
    <w:rsid w:val="00406C41"/>
    <w:rsid w:val="004072E6"/>
    <w:rsid w:val="00417003"/>
    <w:rsid w:val="004368D8"/>
    <w:rsid w:val="00470637"/>
    <w:rsid w:val="00481432"/>
    <w:rsid w:val="004840FB"/>
    <w:rsid w:val="004858E9"/>
    <w:rsid w:val="004B074A"/>
    <w:rsid w:val="004C6553"/>
    <w:rsid w:val="004C6B3A"/>
    <w:rsid w:val="004F71C2"/>
    <w:rsid w:val="005153F8"/>
    <w:rsid w:val="00527F99"/>
    <w:rsid w:val="0053431B"/>
    <w:rsid w:val="00537E75"/>
    <w:rsid w:val="00544A11"/>
    <w:rsid w:val="005471BF"/>
    <w:rsid w:val="00554BA4"/>
    <w:rsid w:val="0058319F"/>
    <w:rsid w:val="00593775"/>
    <w:rsid w:val="005A5C3E"/>
    <w:rsid w:val="005E0A44"/>
    <w:rsid w:val="005E2003"/>
    <w:rsid w:val="005F5B43"/>
    <w:rsid w:val="0060239F"/>
    <w:rsid w:val="00612D74"/>
    <w:rsid w:val="00627352"/>
    <w:rsid w:val="00651577"/>
    <w:rsid w:val="006551BD"/>
    <w:rsid w:val="00661CC3"/>
    <w:rsid w:val="00681C23"/>
    <w:rsid w:val="006874EE"/>
    <w:rsid w:val="006B3D39"/>
    <w:rsid w:val="006D3211"/>
    <w:rsid w:val="00704E26"/>
    <w:rsid w:val="00716F1B"/>
    <w:rsid w:val="00727A4C"/>
    <w:rsid w:val="007335DD"/>
    <w:rsid w:val="00735183"/>
    <w:rsid w:val="0074182F"/>
    <w:rsid w:val="00761BBB"/>
    <w:rsid w:val="007652E5"/>
    <w:rsid w:val="0078366E"/>
    <w:rsid w:val="007873DC"/>
    <w:rsid w:val="007957A2"/>
    <w:rsid w:val="007A20D1"/>
    <w:rsid w:val="007C4108"/>
    <w:rsid w:val="007D4A23"/>
    <w:rsid w:val="007D5D72"/>
    <w:rsid w:val="007E4D8B"/>
    <w:rsid w:val="007F49F0"/>
    <w:rsid w:val="007F6359"/>
    <w:rsid w:val="007F6F17"/>
    <w:rsid w:val="008105CF"/>
    <w:rsid w:val="00836C9A"/>
    <w:rsid w:val="00837F2D"/>
    <w:rsid w:val="0084631F"/>
    <w:rsid w:val="00846B6C"/>
    <w:rsid w:val="00847A75"/>
    <w:rsid w:val="00870F61"/>
    <w:rsid w:val="00890604"/>
    <w:rsid w:val="0089490E"/>
    <w:rsid w:val="008B306C"/>
    <w:rsid w:val="008C1ECB"/>
    <w:rsid w:val="008C2300"/>
    <w:rsid w:val="008C265A"/>
    <w:rsid w:val="008E337A"/>
    <w:rsid w:val="008E37BA"/>
    <w:rsid w:val="008E64CA"/>
    <w:rsid w:val="00907B87"/>
    <w:rsid w:val="00907D9B"/>
    <w:rsid w:val="009119D6"/>
    <w:rsid w:val="00921026"/>
    <w:rsid w:val="0092206F"/>
    <w:rsid w:val="009307D7"/>
    <w:rsid w:val="009349A7"/>
    <w:rsid w:val="009616B0"/>
    <w:rsid w:val="00971BFC"/>
    <w:rsid w:val="00972D6A"/>
    <w:rsid w:val="00986A52"/>
    <w:rsid w:val="0099325E"/>
    <w:rsid w:val="00994067"/>
    <w:rsid w:val="009969F2"/>
    <w:rsid w:val="009A00C8"/>
    <w:rsid w:val="009B501A"/>
    <w:rsid w:val="009C2D10"/>
    <w:rsid w:val="009C7447"/>
    <w:rsid w:val="009E372E"/>
    <w:rsid w:val="009F6232"/>
    <w:rsid w:val="00A1713D"/>
    <w:rsid w:val="00A31165"/>
    <w:rsid w:val="00A36487"/>
    <w:rsid w:val="00A42551"/>
    <w:rsid w:val="00A4577E"/>
    <w:rsid w:val="00A6205F"/>
    <w:rsid w:val="00A73280"/>
    <w:rsid w:val="00A81023"/>
    <w:rsid w:val="00A85FF1"/>
    <w:rsid w:val="00A876BC"/>
    <w:rsid w:val="00AA054F"/>
    <w:rsid w:val="00AB5980"/>
    <w:rsid w:val="00AB6A8A"/>
    <w:rsid w:val="00AB700D"/>
    <w:rsid w:val="00AC72E8"/>
    <w:rsid w:val="00AC7B2D"/>
    <w:rsid w:val="00AF6540"/>
    <w:rsid w:val="00B030F0"/>
    <w:rsid w:val="00B034C2"/>
    <w:rsid w:val="00B04DD1"/>
    <w:rsid w:val="00B05C93"/>
    <w:rsid w:val="00B2248C"/>
    <w:rsid w:val="00B322D5"/>
    <w:rsid w:val="00B45786"/>
    <w:rsid w:val="00B47BE3"/>
    <w:rsid w:val="00B5239B"/>
    <w:rsid w:val="00B577D1"/>
    <w:rsid w:val="00B6420E"/>
    <w:rsid w:val="00B71123"/>
    <w:rsid w:val="00B75F6E"/>
    <w:rsid w:val="00B831B3"/>
    <w:rsid w:val="00B87062"/>
    <w:rsid w:val="00B879A9"/>
    <w:rsid w:val="00BB59A0"/>
    <w:rsid w:val="00BC7E1F"/>
    <w:rsid w:val="00BD6048"/>
    <w:rsid w:val="00BE2183"/>
    <w:rsid w:val="00BF0232"/>
    <w:rsid w:val="00C430DB"/>
    <w:rsid w:val="00C433C4"/>
    <w:rsid w:val="00C51D48"/>
    <w:rsid w:val="00C74F9E"/>
    <w:rsid w:val="00C81FFE"/>
    <w:rsid w:val="00C92499"/>
    <w:rsid w:val="00CA630D"/>
    <w:rsid w:val="00CB4F4C"/>
    <w:rsid w:val="00CC2D72"/>
    <w:rsid w:val="00CD29E4"/>
    <w:rsid w:val="00CE3A32"/>
    <w:rsid w:val="00CE745E"/>
    <w:rsid w:val="00D34A5B"/>
    <w:rsid w:val="00D62E55"/>
    <w:rsid w:val="00D66C8A"/>
    <w:rsid w:val="00D66CE7"/>
    <w:rsid w:val="00D7104F"/>
    <w:rsid w:val="00D816EB"/>
    <w:rsid w:val="00D82BCF"/>
    <w:rsid w:val="00DA2012"/>
    <w:rsid w:val="00DA4FCF"/>
    <w:rsid w:val="00DC3618"/>
    <w:rsid w:val="00DC3ED4"/>
    <w:rsid w:val="00DC437E"/>
    <w:rsid w:val="00DE082E"/>
    <w:rsid w:val="00DF0D34"/>
    <w:rsid w:val="00DF4320"/>
    <w:rsid w:val="00DF6E75"/>
    <w:rsid w:val="00E058F3"/>
    <w:rsid w:val="00E405DA"/>
    <w:rsid w:val="00E45231"/>
    <w:rsid w:val="00E56F8B"/>
    <w:rsid w:val="00E57C1A"/>
    <w:rsid w:val="00E657A2"/>
    <w:rsid w:val="00E675E1"/>
    <w:rsid w:val="00E80AA0"/>
    <w:rsid w:val="00EB2B68"/>
    <w:rsid w:val="00EB31C1"/>
    <w:rsid w:val="00EC13FF"/>
    <w:rsid w:val="00EF25FF"/>
    <w:rsid w:val="00F01B9F"/>
    <w:rsid w:val="00F143CD"/>
    <w:rsid w:val="00F256FB"/>
    <w:rsid w:val="00F33ECE"/>
    <w:rsid w:val="00F553F8"/>
    <w:rsid w:val="00F60837"/>
    <w:rsid w:val="00F7411B"/>
    <w:rsid w:val="00FA1F28"/>
    <w:rsid w:val="00FA73E0"/>
    <w:rsid w:val="00FB3CF6"/>
    <w:rsid w:val="00FC12BF"/>
    <w:rsid w:val="00FC5FD3"/>
    <w:rsid w:val="00FD2F2D"/>
    <w:rsid w:val="00FE327B"/>
    <w:rsid w:val="00FE48F7"/>
    <w:rsid w:val="00FE6968"/>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D2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9F"/>
    <w:pPr>
      <w:ind w:left="720"/>
      <w:contextualSpacing/>
    </w:pPr>
  </w:style>
  <w:style w:type="paragraph" w:styleId="Header">
    <w:name w:val="header"/>
    <w:basedOn w:val="Normal"/>
    <w:link w:val="HeaderChar"/>
    <w:rsid w:val="0058319F"/>
    <w:pPr>
      <w:tabs>
        <w:tab w:val="center" w:pos="4680"/>
        <w:tab w:val="right" w:pos="9360"/>
      </w:tabs>
    </w:pPr>
  </w:style>
  <w:style w:type="character" w:customStyle="1" w:styleId="HeaderChar">
    <w:name w:val="Header Char"/>
    <w:basedOn w:val="DefaultParagraphFont"/>
    <w:link w:val="Header"/>
    <w:rsid w:val="0058319F"/>
    <w:rPr>
      <w:sz w:val="24"/>
      <w:szCs w:val="24"/>
    </w:rPr>
  </w:style>
  <w:style w:type="paragraph" w:styleId="Footer">
    <w:name w:val="footer"/>
    <w:basedOn w:val="Normal"/>
    <w:link w:val="FooterChar"/>
    <w:rsid w:val="0058319F"/>
    <w:pPr>
      <w:tabs>
        <w:tab w:val="center" w:pos="4680"/>
        <w:tab w:val="right" w:pos="9360"/>
      </w:tabs>
    </w:pPr>
  </w:style>
  <w:style w:type="character" w:customStyle="1" w:styleId="FooterChar">
    <w:name w:val="Footer Char"/>
    <w:basedOn w:val="DefaultParagraphFont"/>
    <w:link w:val="Footer"/>
    <w:rsid w:val="0058319F"/>
    <w:rPr>
      <w:sz w:val="24"/>
      <w:szCs w:val="24"/>
    </w:rPr>
  </w:style>
  <w:style w:type="character" w:styleId="Hyperlink">
    <w:name w:val="Hyperlink"/>
    <w:basedOn w:val="DefaultParagraphFont"/>
    <w:rsid w:val="00AA054F"/>
    <w:rPr>
      <w:color w:val="0563C1" w:themeColor="hyperlink"/>
      <w:u w:val="single"/>
    </w:rPr>
  </w:style>
  <w:style w:type="character" w:styleId="UnresolvedMention">
    <w:name w:val="Unresolved Mention"/>
    <w:basedOn w:val="DefaultParagraphFont"/>
    <w:uiPriority w:val="99"/>
    <w:semiHidden/>
    <w:unhideWhenUsed/>
    <w:rsid w:val="00AA054F"/>
    <w:rPr>
      <w:color w:val="808080"/>
      <w:shd w:val="clear" w:color="auto" w:fill="E6E6E6"/>
    </w:rPr>
  </w:style>
  <w:style w:type="character" w:styleId="PlaceholderText">
    <w:name w:val="Placeholder Text"/>
    <w:basedOn w:val="DefaultParagraphFont"/>
    <w:uiPriority w:val="99"/>
    <w:semiHidden/>
    <w:rsid w:val="009307D7"/>
    <w:rPr>
      <w:color w:val="808080"/>
    </w:rPr>
  </w:style>
  <w:style w:type="table" w:styleId="TableGrid">
    <w:name w:val="Table Grid"/>
    <w:basedOn w:val="TableNormal"/>
    <w:rsid w:val="007E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A6718"/>
    <w:rPr>
      <w:sz w:val="16"/>
      <w:szCs w:val="16"/>
    </w:rPr>
  </w:style>
  <w:style w:type="paragraph" w:styleId="CommentText">
    <w:name w:val="annotation text"/>
    <w:basedOn w:val="Normal"/>
    <w:link w:val="CommentTextChar"/>
    <w:rsid w:val="003A6718"/>
    <w:rPr>
      <w:sz w:val="20"/>
      <w:szCs w:val="20"/>
    </w:rPr>
  </w:style>
  <w:style w:type="character" w:customStyle="1" w:styleId="CommentTextChar">
    <w:name w:val="Comment Text Char"/>
    <w:basedOn w:val="DefaultParagraphFont"/>
    <w:link w:val="CommentText"/>
    <w:rsid w:val="003A6718"/>
  </w:style>
  <w:style w:type="paragraph" w:styleId="CommentSubject">
    <w:name w:val="annotation subject"/>
    <w:basedOn w:val="CommentText"/>
    <w:next w:val="CommentText"/>
    <w:link w:val="CommentSubjectChar"/>
    <w:rsid w:val="003A6718"/>
    <w:rPr>
      <w:b/>
      <w:bCs/>
    </w:rPr>
  </w:style>
  <w:style w:type="character" w:customStyle="1" w:styleId="CommentSubjectChar">
    <w:name w:val="Comment Subject Char"/>
    <w:basedOn w:val="CommentTextChar"/>
    <w:link w:val="CommentSubject"/>
    <w:rsid w:val="003A6718"/>
    <w:rPr>
      <w:b/>
      <w:bCs/>
    </w:rPr>
  </w:style>
  <w:style w:type="paragraph" w:styleId="BalloonText">
    <w:name w:val="Balloon Text"/>
    <w:basedOn w:val="Normal"/>
    <w:link w:val="BalloonTextChar"/>
    <w:semiHidden/>
    <w:unhideWhenUsed/>
    <w:rsid w:val="003A6718"/>
    <w:rPr>
      <w:rFonts w:ascii="Segoe UI" w:hAnsi="Segoe UI" w:cs="Segoe UI"/>
      <w:sz w:val="18"/>
      <w:szCs w:val="18"/>
    </w:rPr>
  </w:style>
  <w:style w:type="character" w:customStyle="1" w:styleId="BalloonTextChar">
    <w:name w:val="Balloon Text Char"/>
    <w:basedOn w:val="DefaultParagraphFont"/>
    <w:link w:val="BalloonText"/>
    <w:semiHidden/>
    <w:rsid w:val="003A6718"/>
    <w:rPr>
      <w:rFonts w:ascii="Segoe UI" w:hAnsi="Segoe UI" w:cs="Segoe UI"/>
      <w:sz w:val="18"/>
      <w:szCs w:val="18"/>
    </w:rPr>
  </w:style>
  <w:style w:type="character" w:styleId="FollowedHyperlink">
    <w:name w:val="FollowedHyperlink"/>
    <w:basedOn w:val="DefaultParagraphFont"/>
    <w:rsid w:val="00B03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mtic" TargetMode="External"/><Relationship Id="rId13" Type="http://schemas.openxmlformats.org/officeDocument/2006/relationships/hyperlink" Target="https://www.sigmaaldrich.com/content/dam/sigma-aldrich/docs/Supelco/Product_Information_Sheet/4727.pdf" TargetMode="External"/><Relationship Id="rId18" Type="http://schemas.openxmlformats.org/officeDocument/2006/relationships/hyperlink" Target="https://tisch-env.com/wp-content/uploads/2015/07/TE-423-Carbonyl-Sample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fr.io/Title-40/pt40.6.58" TargetMode="External"/><Relationship Id="rId17" Type="http://schemas.openxmlformats.org/officeDocument/2006/relationships/hyperlink" Target="https://www3.epa.gov/ttnamti1/files/ambient/pams/targetlist.pdf" TargetMode="External"/><Relationship Id="rId2" Type="http://schemas.openxmlformats.org/officeDocument/2006/relationships/numbering" Target="numbering.xml"/><Relationship Id="rId16" Type="http://schemas.openxmlformats.org/officeDocument/2006/relationships/hyperlink" Target="http://www.atec-online.com/linked/8000_manual_freescal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io/Title-40/pt40.6.58" TargetMode="External"/><Relationship Id="rId5" Type="http://schemas.openxmlformats.org/officeDocument/2006/relationships/webSettings" Target="webSettings.xml"/><Relationship Id="rId15" Type="http://schemas.openxmlformats.org/officeDocument/2006/relationships/hyperlink" Target="https://www.epa.gov/amtic/pams-technical-assistance-document-tad" TargetMode="External"/><Relationship Id="rId10" Type="http://schemas.openxmlformats.org/officeDocument/2006/relationships/hyperlink" Target="http://www.epa.gov/ttn/amtic/files/ambient/airtox/to-11ar.pdf" TargetMode="External"/><Relationship Id="rId19" Type="http://schemas.openxmlformats.org/officeDocument/2006/relationships/hyperlink" Target="http://www.astm.org/cgi-bin/resolver.cgi?D5197" TargetMode="External"/><Relationship Id="rId4" Type="http://schemas.openxmlformats.org/officeDocument/2006/relationships/settings" Target="settings.xml"/><Relationship Id="rId9" Type="http://schemas.openxmlformats.org/officeDocument/2006/relationships/hyperlink" Target="https://www3.epa.gov/ttn/amtic/calendar.html" TargetMode="External"/><Relationship Id="rId14" Type="http://schemas.openxmlformats.org/officeDocument/2006/relationships/hyperlink" Target="https://www.waters.com/webassets/cms/support/docs/wat03750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C53E-CDC0-4DD3-A55C-C4B3E2E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5686</Words>
  <Characters>33369</Characters>
  <Application>Microsoft Office Word</Application>
  <DocSecurity>0</DocSecurity>
  <Lines>1235</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2020-01-02T04:54:00Z</dcterms:created>
  <dcterms:modified xsi:type="dcterms:W3CDTF">2020-01-02T05:05:00Z</dcterms:modified>
</cp:coreProperties>
</file>