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9185972" w:displacedByCustomXml="next"/>
    <w:sdt>
      <w:sdtPr>
        <w:id w:val="1529682469"/>
        <w:docPartObj>
          <w:docPartGallery w:val="Cover Pages"/>
          <w:docPartUnique/>
        </w:docPartObj>
      </w:sdtPr>
      <w:sdtEndPr/>
      <w:sdtContent>
        <w:p w:rsidR="00B13138" w:rsidRDefault="002444DC">
          <w:r w:rsidRPr="001F4064">
            <w:rPr>
              <w:noProof/>
              <w:lang w:val="en-ZA" w:eastAsia="zh-CN"/>
            </w:rPr>
            <mc:AlternateContent>
              <mc:Choice Requires="wpg">
                <w:drawing>
                  <wp:anchor distT="0" distB="0" distL="114300" distR="114300" simplePos="0" relativeHeight="251664384" behindDoc="0" locked="0" layoutInCell="1" allowOverlap="1" wp14:anchorId="69C56FCB" wp14:editId="5C1EB271">
                    <wp:simplePos x="0" y="0"/>
                    <wp:positionH relativeFrom="page">
                      <wp:posOffset>-28575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4" style="position:absolute;margin-left:-2.25pt;margin-top:-102.85pt;width:613.45pt;height:117.5pt;z-index:251664384;mso-position-horizontal-relative:page;mso-width-relative:margin;mso-height-relative:margin" alt="&quot;&quot;" coordsize="73250,1215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K6FKF7iAAAACwEAAA8AAABk&#10;cnMvZG93bnJldi54bWxMj01rwzAMhu+D/QejwW6tE7fZRxanlLLtVAZrB2M3NVGT0FgOsZuk/37u&#10;aTsJoYdXz5utJtOKgXrXWNYQzyMQxIUtG640fO3fZk8gnEcusbVMGi7kYJXf3mSYlnbkTxp2vhIh&#10;hF2KGmrvu1RKV9Rk0M1tRxxuR9sb9GHtK1n2OIZw00oVRQ/SYMPhQ40dbWoqTruz0fA+4rhexK/D&#10;9nTcXH72ycf3Niat7++m9QsIT5P/g+GqH9QhD04He+bSiVbDbJkEMkwVJY8groRSagnioEE9L0Dm&#10;mfzf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roUoXuIAAAALAQAADwAAAAAAAAAAAAAAAADCbAAAZHJzL2Rvd25yZXYueG1sUEsBAi0A&#10;FAAGAAgAAAAhAKomDr68AAAAIQEAABkAAAAAAAAAAAAAAAAA0W0AAGRycy9fcmVscy9lMm9Eb2Mu&#10;eG1sLnJlbHNQSwUGAAAAAAYABgB8AQAAxG4AAAAA&#10;" w14:anchorId="216DCCC0">
                    <v:shape id="Rectangle 51" style="position:absolute;width:73152;height:11296;visibility:visible;mso-wrap-style:square;v-text-anchor:middle" coordsize="7312660,1129665" o:spid="_x0000_s1027" fillcolor="#008085" stroked="f" strokeweight="1.25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v:path arrowok="t" o:connecttype="custom" o:connectlocs="0,0;7315200,0;7315200,1129665;3620757,733425;0,1091565;0,0" o:connectangles="0,0,0,0,0,0"/>
                    </v:shape>
                    <v:rect id="Rectangle 151" style="position:absolute;left:98;width:73152;height:12153;visibility:visible;mso-wrap-style:square;v-text-anchor:middle" alt="&quot;&quot;" o:spid="_x0000_s1028"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v:fill type="frame" o:title="" recolor="t" rotate="t" r:id="rId9"/>
                    </v:rect>
                    <w10:wrap anchorx="page"/>
                  </v:group>
                </w:pict>
              </mc:Fallback>
            </mc:AlternateContent>
          </w:r>
        </w:p>
        <w:bookmarkEnd w:id="0"/>
        <w:p w:rsidR="000C4752" w:rsidRPr="001F4064" w:rsidRDefault="000C4752" w:rsidP="001F4064"/>
        <w:p w:rsidR="00B13138" w:rsidRDefault="002444DC">
          <w:r w:rsidRPr="001F4064">
            <w:rPr>
              <w:noProof/>
              <w:lang w:val="en-ZA" w:eastAsia="zh-CN"/>
            </w:rPr>
            <w:drawing>
              <wp:anchor distT="0" distB="0" distL="114300" distR="114300" simplePos="0" relativeHeight="251665408" behindDoc="0" locked="0" layoutInCell="1" allowOverlap="1" wp14:anchorId="128F444E" wp14:editId="29AAEAF5">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 xmlns:adec="http://schemas.microsoft.com/office/drawing/2017/decorativ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rsidR="000C4752" w:rsidRPr="001F4064" w:rsidRDefault="000C4752" w:rsidP="001F4064"/>
        <w:p w:rsidR="000C4752" w:rsidRPr="001F4064" w:rsidRDefault="000C4752" w:rsidP="001F4064"/>
        <w:p w:rsidR="000C4752" w:rsidRPr="001F4064" w:rsidRDefault="000C4752" w:rsidP="001F4064"/>
        <w:p w:rsidR="000C4752" w:rsidRPr="001F4064" w:rsidRDefault="000C4752" w:rsidP="001F4064"/>
        <w:p w:rsidR="00EB4104" w:rsidRPr="001F4064" w:rsidRDefault="00EB4104" w:rsidP="001F4064"/>
        <w:p w:rsidR="00EB4104" w:rsidRPr="001F4064" w:rsidRDefault="00EB4104" w:rsidP="001F4064">
          <w:bookmarkStart w:id="2" w:name="_Hlk19186123"/>
        </w:p>
        <w:p w:rsidR="003D575E" w:rsidRDefault="003D575E" w:rsidP="001F4064">
          <w:pPr>
            <w:pStyle w:val="GRT"/>
          </w:pPr>
        </w:p>
        <w:p w:rsidR="00B13138" w:rsidRPr="00BE5158" w:rsidRDefault="00866CC6">
          <w:pPr>
            <w:pStyle w:val="GRT"/>
            <w:rPr>
              <w:lang w:val="fr-FR"/>
            </w:rPr>
          </w:pPr>
          <w:r>
            <w:rPr>
              <w:lang w:val="fr-FR"/>
            </w:rPr>
            <w:t xml:space="preserve">EN </w:t>
          </w:r>
          <w:r w:rsidR="002444DC" w:rsidRPr="00BE5158">
            <w:rPr>
              <w:lang w:val="fr-FR"/>
            </w:rPr>
            <w:t>PARTENARIAT AVEC LES MÉGAPOLES</w:t>
          </w:r>
        </w:p>
        <w:p w:rsidR="00B13138" w:rsidRPr="00BE5158" w:rsidRDefault="001A12C8">
          <w:pPr>
            <w:pStyle w:val="BLT"/>
            <w:rPr>
              <w:lang w:val="fr-FR"/>
            </w:rPr>
          </w:pPr>
          <w:r w:rsidRPr="00BE5158">
            <w:rPr>
              <w:lang w:val="fr-FR"/>
            </w:rPr>
            <w:t xml:space="preserve">Demande de données sur les services de santé </w:t>
          </w:r>
          <w:r w:rsidR="002444DC" w:rsidRPr="00BE5158">
            <w:rPr>
              <w:lang w:val="fr-FR"/>
            </w:rPr>
            <w:t>humaine</w:t>
          </w:r>
        </w:p>
        <w:p w:rsidR="00B13138" w:rsidRDefault="002444DC">
          <w:pPr>
            <w:jc w:val="center"/>
            <w:rPr>
              <w:color w:val="65757D" w:themeColor="background2" w:themeShade="80"/>
              <w:sz w:val="34"/>
            </w:rPr>
          </w:pPr>
          <w:r>
            <w:rPr>
              <w:color w:val="65757D" w:themeColor="background2" w:themeShade="80"/>
              <w:sz w:val="34"/>
            </w:rPr>
            <w:t xml:space="preserve">Mai </w:t>
          </w:r>
          <w:r w:rsidR="00D047ED">
            <w:rPr>
              <w:color w:val="65757D" w:themeColor="background2" w:themeShade="80"/>
              <w:sz w:val="34"/>
            </w:rPr>
            <w:t>2021</w:t>
          </w:r>
        </w:p>
        <w:bookmarkEnd w:id="1"/>
        <w:bookmarkEnd w:id="2"/>
        <w:p w:rsidR="000C4752" w:rsidRPr="001F4064" w:rsidRDefault="000C4752" w:rsidP="001F4064"/>
        <w:p w:rsidR="005709A5" w:rsidRPr="001F4064" w:rsidRDefault="006E0DB4" w:rsidP="001F4064"/>
      </w:sdtContent>
    </w:sdt>
    <w:bookmarkStart w:id="3" w:name="_Hlk19186317" w:displacedByCustomXml="prev"/>
    <w:bookmarkEnd w:id="3"/>
    <w:p w:rsidR="001F4064" w:rsidRPr="001F4064" w:rsidRDefault="001F4064" w:rsidP="001F4064"/>
    <w:p w:rsidR="001F4064" w:rsidRDefault="001F4064" w:rsidP="00B8337C">
      <w:pPr>
        <w:pStyle w:val="BodyText12ptnumberedlist"/>
        <w:numPr>
          <w:ilvl w:val="0"/>
          <w:numId w:val="0"/>
        </w:numPr>
        <w:sectPr w:rsidR="001F4064" w:rsidSect="001F4064">
          <w:footerReference w:type="default" r:id="rId11"/>
          <w:pgSz w:w="12240" w:h="15840" w:code="1"/>
          <w:pgMar w:top="2074" w:right="1440" w:bottom="1440" w:left="1440" w:header="720" w:footer="720" w:gutter="0"/>
          <w:pgNumType w:fmt="lowerRoman" w:start="1"/>
          <w:cols w:space="720"/>
          <w:docGrid w:linePitch="360"/>
        </w:sectPr>
      </w:pPr>
    </w:p>
    <w:p w:rsidR="00B13138" w:rsidRPr="00BE5158" w:rsidRDefault="002444DC">
      <w:pPr>
        <w:pStyle w:val="nn"/>
        <w:rPr>
          <w:lang w:val="fr-FR"/>
        </w:rPr>
      </w:pPr>
      <w:r w:rsidRPr="00BE5158">
        <w:rPr>
          <w:lang w:val="fr-FR"/>
        </w:rPr>
        <w:lastRenderedPageBreak/>
        <w:t xml:space="preserve">Objectifs de </w:t>
      </w:r>
      <w:r w:rsidR="00314305" w:rsidRPr="00BE5158">
        <w:rPr>
          <w:lang w:val="fr-FR"/>
        </w:rPr>
        <w:t>la demande de données</w:t>
      </w:r>
    </w:p>
    <w:p w:rsidR="00B13138" w:rsidRPr="00BE5158" w:rsidRDefault="002444DC">
      <w:pPr>
        <w:numPr>
          <w:ilvl w:val="0"/>
          <w:numId w:val="35"/>
        </w:numPr>
        <w:rPr>
          <w:rFonts w:eastAsia="Calibri"/>
          <w:sz w:val="24"/>
          <w:szCs w:val="24"/>
          <w:lang w:val="fr-FR"/>
        </w:rPr>
      </w:pPr>
      <w:r w:rsidRPr="00BE5158">
        <w:rPr>
          <w:rFonts w:eastAsia="Calibri"/>
          <w:sz w:val="24"/>
          <w:szCs w:val="24"/>
          <w:lang w:val="fr-FR"/>
        </w:rPr>
        <w:t>Demander et recueillir toutes les données disponibles relatives aux effets sur la santé de l'exposition à la pollution atmosphérique, y compris, mais sans s'y limiter, les données sur les admissions dans les hôpitaux, les registres des causes de décès, le détail des coûts des maladies et les études épidémiologiques menées dans la ville, le pays ou la région.</w:t>
      </w:r>
    </w:p>
    <w:p w:rsidR="00B13138" w:rsidRPr="00BE5158" w:rsidRDefault="002444DC">
      <w:pPr>
        <w:numPr>
          <w:ilvl w:val="0"/>
          <w:numId w:val="35"/>
        </w:numPr>
        <w:rPr>
          <w:rFonts w:eastAsia="Calibri"/>
          <w:sz w:val="24"/>
          <w:szCs w:val="24"/>
          <w:lang w:val="fr-FR"/>
        </w:rPr>
      </w:pPr>
      <w:r w:rsidRPr="00BE5158">
        <w:rPr>
          <w:rFonts w:eastAsia="Calibri"/>
          <w:sz w:val="24"/>
          <w:szCs w:val="24"/>
          <w:lang w:val="fr-FR"/>
        </w:rPr>
        <w:t>Recueillir les taux d'incidence stratifiés par âge</w:t>
      </w:r>
      <w:r w:rsidR="00314305" w:rsidRPr="00BE5158">
        <w:rPr>
          <w:rFonts w:eastAsia="Calibri"/>
          <w:sz w:val="24"/>
          <w:szCs w:val="24"/>
          <w:lang w:val="fr-FR"/>
        </w:rPr>
        <w:t xml:space="preserve">, par sexe </w:t>
      </w:r>
      <w:r w:rsidRPr="00BE5158">
        <w:rPr>
          <w:rFonts w:eastAsia="Calibri"/>
          <w:sz w:val="24"/>
          <w:szCs w:val="24"/>
          <w:lang w:val="fr-FR"/>
        </w:rPr>
        <w:t>et par zone géographique pour les paramètres liés à la pollution atmosphérique.</w:t>
      </w:r>
    </w:p>
    <w:p w:rsidR="00B13138" w:rsidRPr="00BE5158" w:rsidRDefault="002444DC">
      <w:pPr>
        <w:numPr>
          <w:ilvl w:val="0"/>
          <w:numId w:val="35"/>
        </w:numPr>
        <w:rPr>
          <w:rFonts w:eastAsia="Calibri"/>
          <w:sz w:val="24"/>
          <w:szCs w:val="24"/>
          <w:lang w:val="fr-FR"/>
        </w:rPr>
      </w:pPr>
      <w:r w:rsidRPr="00BE5158">
        <w:rPr>
          <w:rFonts w:eastAsia="Calibri"/>
          <w:sz w:val="24"/>
          <w:szCs w:val="24"/>
          <w:lang w:val="fr-FR"/>
        </w:rPr>
        <w:t>Cataloguer les données disponibles relatives à la santé</w:t>
      </w:r>
    </w:p>
    <w:p w:rsidR="00B13138" w:rsidRPr="00BE5158" w:rsidRDefault="002444DC">
      <w:pPr>
        <w:numPr>
          <w:ilvl w:val="1"/>
          <w:numId w:val="35"/>
        </w:numPr>
        <w:rPr>
          <w:rFonts w:eastAsia="Calibri"/>
          <w:sz w:val="24"/>
          <w:szCs w:val="24"/>
          <w:lang w:val="fr-FR"/>
        </w:rPr>
      </w:pPr>
      <w:r w:rsidRPr="00BE5158">
        <w:rPr>
          <w:rFonts w:eastAsia="Calibri"/>
          <w:sz w:val="24"/>
          <w:szCs w:val="24"/>
          <w:lang w:val="fr-FR"/>
        </w:rPr>
        <w:t>L'évaluation des besoins donnera un aperçu des analyses possibles en fonction de la disponibilité des données.</w:t>
      </w:r>
    </w:p>
    <w:p w:rsidR="000B5494" w:rsidRPr="00BE5158" w:rsidRDefault="000B5494" w:rsidP="000B5494">
      <w:pPr>
        <w:ind w:left="1440"/>
        <w:rPr>
          <w:rFonts w:eastAsia="Calibri"/>
          <w:sz w:val="24"/>
          <w:szCs w:val="24"/>
          <w:lang w:val="fr-FR"/>
        </w:rPr>
      </w:pPr>
    </w:p>
    <w:p w:rsidR="00B13138" w:rsidRDefault="00BE5158">
      <w:pPr>
        <w:pStyle w:val="nn"/>
      </w:pPr>
      <w:r>
        <w:t xml:space="preserve">Services </w:t>
      </w:r>
      <w:proofErr w:type="spellStart"/>
      <w:r>
        <w:t>compétents</w:t>
      </w:r>
      <w:proofErr w:type="spellEnd"/>
      <w:r>
        <w:t xml:space="preserve"> </w:t>
      </w:r>
      <w:r w:rsidR="002444DC" w:rsidRPr="001A12C8">
        <w:t xml:space="preserve">à </w:t>
      </w:r>
      <w:proofErr w:type="spellStart"/>
      <w:r w:rsidR="000B5494">
        <w:t>contacter</w:t>
      </w:r>
      <w:proofErr w:type="spellEnd"/>
      <w:r w:rsidR="000B5494">
        <w:t xml:space="preserve"> </w:t>
      </w:r>
      <w:r w:rsidR="002444DC" w:rsidRPr="001A12C8">
        <w:t>:</w:t>
      </w:r>
    </w:p>
    <w:p w:rsidR="00B13138" w:rsidRDefault="002444DC">
      <w:pPr>
        <w:numPr>
          <w:ilvl w:val="0"/>
          <w:numId w:val="36"/>
        </w:numPr>
        <w:rPr>
          <w:rFonts w:eastAsia="Calibri"/>
          <w:sz w:val="24"/>
          <w:szCs w:val="24"/>
        </w:rPr>
      </w:pPr>
      <w:r w:rsidRPr="001A12C8">
        <w:rPr>
          <w:rFonts w:eastAsia="Calibri"/>
          <w:sz w:val="24"/>
          <w:szCs w:val="24"/>
        </w:rPr>
        <w:t>Ministère fédéral de la santé</w:t>
      </w:r>
    </w:p>
    <w:p w:rsidR="00B13138" w:rsidRPr="00BE5158" w:rsidRDefault="002444DC">
      <w:pPr>
        <w:numPr>
          <w:ilvl w:val="0"/>
          <w:numId w:val="36"/>
        </w:numPr>
        <w:rPr>
          <w:rFonts w:eastAsia="Calibri"/>
          <w:sz w:val="24"/>
          <w:szCs w:val="24"/>
          <w:lang w:val="fr-FR"/>
        </w:rPr>
      </w:pPr>
      <w:r w:rsidRPr="00BE5158">
        <w:rPr>
          <w:rFonts w:eastAsia="Calibri"/>
          <w:sz w:val="24"/>
          <w:szCs w:val="24"/>
          <w:lang w:val="fr-FR"/>
        </w:rPr>
        <w:t>Ministère de la santé de la région, du district ou de l'État</w:t>
      </w:r>
    </w:p>
    <w:p w:rsidR="00B13138" w:rsidRPr="00BE5158" w:rsidRDefault="002444DC">
      <w:pPr>
        <w:numPr>
          <w:ilvl w:val="0"/>
          <w:numId w:val="36"/>
        </w:numPr>
        <w:rPr>
          <w:rFonts w:eastAsia="Calibri"/>
          <w:sz w:val="24"/>
          <w:szCs w:val="24"/>
          <w:lang w:val="fr-FR"/>
        </w:rPr>
      </w:pPr>
      <w:r w:rsidRPr="00BE5158">
        <w:rPr>
          <w:rFonts w:eastAsia="Calibri"/>
          <w:sz w:val="24"/>
          <w:szCs w:val="24"/>
          <w:lang w:val="fr-FR"/>
        </w:rPr>
        <w:t>Agences de santé municipales ou locales</w:t>
      </w:r>
    </w:p>
    <w:p w:rsidR="001A12C8" w:rsidRPr="00BE5158" w:rsidRDefault="001A12C8" w:rsidP="001A12C8">
      <w:pPr>
        <w:rPr>
          <w:rFonts w:ascii="Times New Roman" w:hAnsi="Times New Roman"/>
          <w:lang w:val="fr-FR"/>
        </w:rPr>
      </w:pPr>
    </w:p>
    <w:p w:rsidR="00B13138" w:rsidRDefault="002444DC">
      <w:pPr>
        <w:pStyle w:val="nn"/>
      </w:pPr>
      <w:r w:rsidRPr="001A12C8">
        <w:t>Documents et rapports</w:t>
      </w:r>
    </w:p>
    <w:p w:rsidR="00B13138" w:rsidRPr="00BE5158" w:rsidRDefault="002444DC">
      <w:pPr>
        <w:numPr>
          <w:ilvl w:val="0"/>
          <w:numId w:val="37"/>
        </w:numPr>
        <w:rPr>
          <w:rFonts w:eastAsia="Calibri"/>
          <w:sz w:val="24"/>
          <w:szCs w:val="24"/>
          <w:lang w:val="fr-FR"/>
        </w:rPr>
      </w:pPr>
      <w:r w:rsidRPr="00BE5158">
        <w:rPr>
          <w:rFonts w:eastAsia="Calibri"/>
          <w:sz w:val="24"/>
          <w:szCs w:val="24"/>
          <w:lang w:val="fr-FR"/>
        </w:rPr>
        <w:t xml:space="preserve">Tous les rapports préparés par le ministère de la santé </w:t>
      </w:r>
      <w:r w:rsidR="002477A4" w:rsidRPr="00BE5158">
        <w:rPr>
          <w:rFonts w:eastAsia="Calibri"/>
          <w:sz w:val="24"/>
          <w:szCs w:val="24"/>
          <w:lang w:val="fr-FR"/>
        </w:rPr>
        <w:t xml:space="preserve">ou la municipalité </w:t>
      </w:r>
      <w:r w:rsidRPr="00BE5158">
        <w:rPr>
          <w:rFonts w:eastAsia="Calibri"/>
          <w:sz w:val="24"/>
          <w:szCs w:val="24"/>
          <w:lang w:val="fr-FR"/>
        </w:rPr>
        <w:t>qui établissent un lien entre les données de qualité de l'air surveillées ou modélisées et l'incidence des paramètres de morbidité ou de mortalité.</w:t>
      </w:r>
    </w:p>
    <w:p w:rsidR="00B13138" w:rsidRDefault="002444DC">
      <w:pPr>
        <w:numPr>
          <w:ilvl w:val="0"/>
          <w:numId w:val="37"/>
        </w:numPr>
        <w:rPr>
          <w:rFonts w:eastAsia="Calibri"/>
          <w:sz w:val="24"/>
          <w:szCs w:val="24"/>
          <w:lang w:val="fr-FR"/>
        </w:rPr>
      </w:pPr>
      <w:r w:rsidRPr="00BE5158">
        <w:rPr>
          <w:rFonts w:eastAsia="Calibri"/>
          <w:sz w:val="24"/>
          <w:szCs w:val="24"/>
          <w:lang w:val="fr-FR"/>
        </w:rPr>
        <w:t xml:space="preserve">Rapports statistiques sanitaires les plus récents fournissant un résumé des taux de mortalité </w:t>
      </w:r>
      <w:r w:rsidR="002477A4" w:rsidRPr="00BE5158">
        <w:rPr>
          <w:rFonts w:eastAsia="Calibri"/>
          <w:sz w:val="24"/>
          <w:szCs w:val="24"/>
          <w:lang w:val="fr-FR"/>
        </w:rPr>
        <w:t xml:space="preserve">et/ou de </w:t>
      </w:r>
      <w:r w:rsidRPr="00BE5158">
        <w:rPr>
          <w:rFonts w:eastAsia="Calibri"/>
          <w:sz w:val="24"/>
          <w:szCs w:val="24"/>
          <w:lang w:val="fr-FR"/>
        </w:rPr>
        <w:t>morbidité dans la zone urbaine.</w:t>
      </w:r>
    </w:p>
    <w:p w:rsidR="00866CC6" w:rsidRPr="00BE5158" w:rsidRDefault="00866CC6">
      <w:pPr>
        <w:numPr>
          <w:ilvl w:val="0"/>
          <w:numId w:val="37"/>
        </w:numPr>
        <w:rPr>
          <w:rFonts w:eastAsia="Calibri"/>
          <w:sz w:val="24"/>
          <w:szCs w:val="24"/>
          <w:lang w:val="fr-FR"/>
        </w:rPr>
      </w:pPr>
    </w:p>
    <w:p w:rsidR="00D041B3" w:rsidRPr="00BE5158" w:rsidRDefault="00D041B3" w:rsidP="00D041B3">
      <w:pPr>
        <w:ind w:left="720"/>
        <w:rPr>
          <w:rFonts w:eastAsia="Calibri"/>
          <w:sz w:val="24"/>
          <w:szCs w:val="24"/>
          <w:lang w:val="fr-FR"/>
        </w:rPr>
      </w:pPr>
    </w:p>
    <w:p w:rsidR="00B13138" w:rsidRPr="00BE5158" w:rsidRDefault="002444DC">
      <w:pPr>
        <w:spacing w:before="240" w:after="0"/>
        <w:rPr>
          <w:b/>
          <w:color w:val="65757D"/>
          <w:sz w:val="30"/>
          <w:lang w:val="fr-FR"/>
        </w:rPr>
      </w:pPr>
      <w:r w:rsidRPr="00BE5158">
        <w:rPr>
          <w:rFonts w:asciiTheme="minorHAnsi" w:hAnsiTheme="minorHAnsi"/>
          <w:color w:val="008085"/>
          <w:sz w:val="36"/>
          <w:szCs w:val="36"/>
          <w:lang w:val="fr-FR"/>
        </w:rPr>
        <w:lastRenderedPageBreak/>
        <w:t xml:space="preserve">Exemple de catalogue de </w:t>
      </w:r>
      <w:r w:rsidRPr="00BE5158">
        <w:rPr>
          <w:rFonts w:asciiTheme="minorHAnsi" w:hAnsiTheme="minorHAnsi"/>
          <w:color w:val="008085"/>
          <w:sz w:val="36"/>
          <w:lang w:val="fr-FR"/>
        </w:rPr>
        <w:t xml:space="preserve">données : </w:t>
      </w:r>
    </w:p>
    <w:p w:rsidR="00B13138" w:rsidRPr="00BE5158" w:rsidRDefault="002444DC">
      <w:pPr>
        <w:ind w:firstLine="720"/>
        <w:rPr>
          <w:rFonts w:eastAsia="Calibri"/>
          <w:sz w:val="24"/>
          <w:szCs w:val="24"/>
          <w:lang w:val="fr-FR"/>
        </w:rPr>
      </w:pPr>
      <w:r w:rsidRPr="00BE5158">
        <w:rPr>
          <w:rFonts w:eastAsia="Calibri"/>
          <w:sz w:val="24"/>
          <w:szCs w:val="24"/>
          <w:lang w:val="fr-FR"/>
        </w:rPr>
        <w:t>Le tableau ci-dessous fournit un exemple de catalogue de données sur la santé. Le format comprend des colonnes pour la source de données, la catégorie de données, le type de données et les besoins spécifiques en matière de données.  Il est prévu que les données sanitaires dont dis</w:t>
      </w:r>
      <w:r w:rsidR="00866CC6">
        <w:rPr>
          <w:rFonts w:eastAsia="Calibri"/>
          <w:sz w:val="24"/>
          <w:szCs w:val="24"/>
          <w:lang w:val="fr-FR"/>
        </w:rPr>
        <w:t>pose chaque mégapole</w:t>
      </w:r>
      <w:r w:rsidRPr="00BE5158">
        <w:rPr>
          <w:rFonts w:eastAsia="Calibri"/>
          <w:sz w:val="24"/>
          <w:szCs w:val="24"/>
          <w:lang w:val="fr-FR"/>
        </w:rPr>
        <w:t xml:space="preserve"> varient.  </w:t>
      </w:r>
    </w:p>
    <w:p w:rsidR="00B13138" w:rsidRPr="00BE5158" w:rsidRDefault="002444DC">
      <w:pPr>
        <w:rPr>
          <w:rFonts w:eastAsia="Calibri"/>
          <w:b/>
          <w:bCs/>
          <w:sz w:val="24"/>
          <w:szCs w:val="24"/>
          <w:lang w:val="fr-FR"/>
        </w:rPr>
      </w:pPr>
      <w:r w:rsidRPr="00BE5158">
        <w:rPr>
          <w:rFonts w:ascii="Times New Roman" w:eastAsia="Calibri" w:hAnsi="Times New Roman" w:cs="Times New Roman"/>
          <w:b/>
          <w:bCs/>
          <w:lang w:val="fr-FR"/>
        </w:rPr>
        <w:t>Tableau 1. Exemple de catalogue de données sur la santé</w:t>
      </w:r>
    </w:p>
    <w:tbl>
      <w:tblPr>
        <w:tblW w:w="9320" w:type="dxa"/>
        <w:jc w:val="right"/>
        <w:tblBorders>
          <w:top w:val="single" w:sz="4" w:space="0" w:color="auto"/>
          <w:left w:val="single" w:sz="4" w:space="0" w:color="008085"/>
          <w:bottom w:val="single" w:sz="4" w:space="0" w:color="auto"/>
          <w:right w:val="single" w:sz="4" w:space="0" w:color="000080"/>
          <w:insideH w:val="single" w:sz="4" w:space="0" w:color="A6A6A6" w:themeColor="background1" w:themeShade="A6"/>
          <w:insideV w:val="single" w:sz="4" w:space="0" w:color="008085"/>
        </w:tblBorders>
        <w:tblLook w:val="0000" w:firstRow="0" w:lastRow="0" w:firstColumn="0" w:lastColumn="0" w:noHBand="0" w:noVBand="0"/>
      </w:tblPr>
      <w:tblGrid>
        <w:gridCol w:w="1885"/>
        <w:gridCol w:w="1980"/>
        <w:gridCol w:w="2520"/>
        <w:gridCol w:w="2935"/>
      </w:tblGrid>
      <w:tr w:rsidR="001A12C8" w:rsidRPr="001A12C8" w:rsidTr="00F02755">
        <w:trPr>
          <w:trHeight w:val="374"/>
          <w:jc w:val="right"/>
        </w:trPr>
        <w:tc>
          <w:tcPr>
            <w:tcW w:w="1885" w:type="dxa"/>
            <w:shd w:val="clear" w:color="auto" w:fill="008085"/>
            <w:vAlign w:val="bottom"/>
          </w:tcPr>
          <w:p w:rsidR="00B13138" w:rsidRDefault="002444DC">
            <w:pPr>
              <w:pStyle w:val="ChartHeader"/>
            </w:pPr>
            <w:r w:rsidRPr="001A12C8">
              <w:t>SOURCE DE DONNÉES</w:t>
            </w:r>
          </w:p>
        </w:tc>
        <w:tc>
          <w:tcPr>
            <w:tcW w:w="1980" w:type="dxa"/>
            <w:shd w:val="clear" w:color="auto" w:fill="008085"/>
            <w:vAlign w:val="bottom"/>
          </w:tcPr>
          <w:p w:rsidR="00B13138" w:rsidRDefault="002444DC">
            <w:pPr>
              <w:pStyle w:val="ChartHeader"/>
            </w:pPr>
            <w:r w:rsidRPr="001A12C8">
              <w:t>CATÉGORIE DE DONNÉES</w:t>
            </w:r>
          </w:p>
        </w:tc>
        <w:tc>
          <w:tcPr>
            <w:tcW w:w="2520" w:type="dxa"/>
            <w:shd w:val="clear" w:color="auto" w:fill="008085"/>
            <w:vAlign w:val="bottom"/>
          </w:tcPr>
          <w:p w:rsidR="00B13138" w:rsidRDefault="002444DC">
            <w:pPr>
              <w:pStyle w:val="ChartHeader"/>
            </w:pPr>
            <w:r w:rsidRPr="001A12C8">
              <w:t>TYPE DE DONNÉES</w:t>
            </w:r>
          </w:p>
        </w:tc>
        <w:tc>
          <w:tcPr>
            <w:tcW w:w="2935" w:type="dxa"/>
            <w:shd w:val="clear" w:color="auto" w:fill="008085"/>
            <w:vAlign w:val="bottom"/>
          </w:tcPr>
          <w:p w:rsidR="00B13138" w:rsidRDefault="002444DC">
            <w:pPr>
              <w:pStyle w:val="ChartHeader"/>
            </w:pPr>
            <w:r w:rsidRPr="001A12C8">
              <w:t>BESOINS EN DONNÉES SPÉCIFIQUES</w:t>
            </w:r>
          </w:p>
        </w:tc>
      </w:tr>
      <w:tr w:rsidR="001A12C8" w:rsidRPr="00866CC6" w:rsidTr="00F02755">
        <w:trPr>
          <w:trHeight w:val="4130"/>
          <w:jc w:val="right"/>
        </w:trPr>
        <w:tc>
          <w:tcPr>
            <w:tcW w:w="1885" w:type="dxa"/>
            <w:shd w:val="clear" w:color="auto" w:fill="auto"/>
            <w:vAlign w:val="center"/>
          </w:tcPr>
          <w:p w:rsidR="00B13138" w:rsidRPr="00BE5158" w:rsidRDefault="002444DC">
            <w:pPr>
              <w:spacing w:after="0" w:line="240" w:lineRule="auto"/>
              <w:rPr>
                <w:rFonts w:eastAsia="Calibri"/>
                <w:b/>
                <w:bCs/>
                <w:color w:val="000000"/>
                <w:sz w:val="20"/>
                <w:szCs w:val="20"/>
                <w:lang w:val="fr-FR"/>
              </w:rPr>
            </w:pPr>
            <w:r w:rsidRPr="00BE5158">
              <w:rPr>
                <w:rFonts w:eastAsia="Calibri"/>
                <w:b/>
                <w:bCs/>
                <w:color w:val="000000"/>
                <w:sz w:val="20"/>
                <w:szCs w:val="20"/>
                <w:lang w:val="fr-FR"/>
              </w:rPr>
              <w:t>Dépôts de données du ministère de la santé (ou régional ou local)</w:t>
            </w:r>
          </w:p>
        </w:tc>
        <w:tc>
          <w:tcPr>
            <w:tcW w:w="1980" w:type="dxa"/>
            <w:shd w:val="clear" w:color="auto" w:fill="auto"/>
            <w:vAlign w:val="center"/>
          </w:tcPr>
          <w:p w:rsidR="00B13138" w:rsidRPr="00BE5158" w:rsidRDefault="002444DC">
            <w:pPr>
              <w:spacing w:after="0" w:line="240" w:lineRule="auto"/>
              <w:rPr>
                <w:rFonts w:eastAsia="Calibri"/>
                <w:bCs/>
                <w:color w:val="000000"/>
                <w:sz w:val="20"/>
                <w:szCs w:val="20"/>
                <w:lang w:val="fr-FR"/>
              </w:rPr>
            </w:pPr>
            <w:r w:rsidRPr="00BE5158">
              <w:rPr>
                <w:rFonts w:eastAsia="Calibri"/>
                <w:color w:val="000000"/>
                <w:sz w:val="20"/>
                <w:szCs w:val="20"/>
                <w:lang w:val="fr-FR"/>
              </w:rPr>
              <w:t>Les résultats en matière de santé comptent</w:t>
            </w:r>
          </w:p>
        </w:tc>
        <w:tc>
          <w:tcPr>
            <w:tcW w:w="2520" w:type="dxa"/>
            <w:shd w:val="clear" w:color="auto" w:fill="auto"/>
            <w:vAlign w:val="center"/>
          </w:tcPr>
          <w:p w:rsidR="00B13138" w:rsidRPr="00BE5158" w:rsidRDefault="002444DC">
            <w:pPr>
              <w:spacing w:after="0" w:line="240" w:lineRule="auto"/>
              <w:rPr>
                <w:rFonts w:eastAsia="Calibri"/>
                <w:bCs/>
                <w:color w:val="000000"/>
                <w:sz w:val="20"/>
                <w:szCs w:val="20"/>
                <w:lang w:val="fr-FR"/>
              </w:rPr>
            </w:pPr>
            <w:r w:rsidRPr="00BE5158">
              <w:rPr>
                <w:rFonts w:eastAsia="Calibri"/>
                <w:bCs/>
                <w:color w:val="000000"/>
                <w:sz w:val="20"/>
                <w:szCs w:val="20"/>
                <w:lang w:val="fr-FR"/>
              </w:rPr>
              <w:t xml:space="preserve">Chiffres relatifs à la mortalité, aux visites cliniques, aux visites dans les services d'urgence et aux admissions dans les hôpitaux de la zone urbaine. </w:t>
            </w:r>
          </w:p>
        </w:tc>
        <w:tc>
          <w:tcPr>
            <w:tcW w:w="2935" w:type="dxa"/>
            <w:shd w:val="clear" w:color="auto" w:fill="auto"/>
            <w:vAlign w:val="center"/>
          </w:tcPr>
          <w:p w:rsidR="00B13138" w:rsidRDefault="002444DC">
            <w:pPr>
              <w:spacing w:after="0" w:line="240" w:lineRule="auto"/>
              <w:rPr>
                <w:rFonts w:eastAsia="Calibri"/>
                <w:bCs/>
                <w:color w:val="000000"/>
                <w:sz w:val="20"/>
                <w:szCs w:val="20"/>
              </w:rPr>
            </w:pPr>
            <w:proofErr w:type="spellStart"/>
            <w:r w:rsidRPr="001A12C8">
              <w:rPr>
                <w:rFonts w:eastAsia="Calibri"/>
                <w:bCs/>
                <w:color w:val="000000"/>
                <w:sz w:val="20"/>
                <w:szCs w:val="20"/>
              </w:rPr>
              <w:t>Mortalité</w:t>
            </w:r>
            <w:proofErr w:type="spellEnd"/>
            <w:r w:rsidRPr="001A12C8">
              <w:rPr>
                <w:rFonts w:eastAsia="Calibri"/>
                <w:bCs/>
                <w:color w:val="000000"/>
                <w:sz w:val="20"/>
                <w:szCs w:val="20"/>
              </w:rPr>
              <w:t xml:space="preserve"> </w:t>
            </w:r>
          </w:p>
          <w:p w:rsidR="00B13138" w:rsidRDefault="002444DC">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Décès-Adultes</w:t>
            </w:r>
          </w:p>
          <w:p w:rsidR="00B13138" w:rsidRPr="00BE5158" w:rsidRDefault="002444DC">
            <w:pPr>
              <w:numPr>
                <w:ilvl w:val="0"/>
                <w:numId w:val="38"/>
              </w:numPr>
              <w:spacing w:after="0" w:line="240" w:lineRule="auto"/>
              <w:contextualSpacing/>
              <w:rPr>
                <w:rFonts w:eastAsia="Calibri"/>
                <w:bCs/>
                <w:color w:val="000000"/>
                <w:sz w:val="20"/>
                <w:szCs w:val="20"/>
                <w:lang w:val="fr-FR"/>
              </w:rPr>
            </w:pPr>
            <w:r w:rsidRPr="00BE5158">
              <w:rPr>
                <w:rFonts w:eastAsia="Calibri"/>
                <w:bCs/>
                <w:color w:val="000000"/>
                <w:sz w:val="20"/>
                <w:szCs w:val="20"/>
                <w:lang w:val="fr-FR"/>
              </w:rPr>
              <w:t xml:space="preserve">Décès - Nourrissons âgés de 0 à 1 an </w:t>
            </w:r>
          </w:p>
          <w:p w:rsidR="00B13138" w:rsidRDefault="002444DC">
            <w:pPr>
              <w:spacing w:after="0" w:line="240" w:lineRule="auto"/>
              <w:rPr>
                <w:rFonts w:eastAsia="Calibri"/>
                <w:bCs/>
                <w:color w:val="000000"/>
                <w:sz w:val="20"/>
                <w:szCs w:val="20"/>
              </w:rPr>
            </w:pPr>
            <w:proofErr w:type="spellStart"/>
            <w:r w:rsidRPr="001A12C8">
              <w:rPr>
                <w:rFonts w:eastAsia="Calibri"/>
                <w:bCs/>
                <w:color w:val="000000"/>
                <w:sz w:val="20"/>
                <w:szCs w:val="20"/>
              </w:rPr>
              <w:t>Morbidité</w:t>
            </w:r>
            <w:proofErr w:type="spellEnd"/>
          </w:p>
          <w:p w:rsidR="00B13138" w:rsidRDefault="002444DC">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Infections respiratoires aiguës - supérieures</w:t>
            </w:r>
          </w:p>
          <w:p w:rsidR="00B13138" w:rsidRDefault="002444DC">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Infections respiratoires aiguës - inférieures</w:t>
            </w:r>
          </w:p>
          <w:p w:rsidR="00B13138" w:rsidRDefault="002444DC">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Bronchite aiguë</w:t>
            </w:r>
          </w:p>
          <w:p w:rsidR="00B13138" w:rsidRPr="00BE5158" w:rsidRDefault="002444DC">
            <w:pPr>
              <w:numPr>
                <w:ilvl w:val="0"/>
                <w:numId w:val="38"/>
              </w:numPr>
              <w:spacing w:after="0" w:line="240" w:lineRule="auto"/>
              <w:contextualSpacing/>
              <w:rPr>
                <w:rFonts w:eastAsia="Calibri"/>
                <w:bCs/>
                <w:color w:val="000000"/>
                <w:sz w:val="20"/>
                <w:szCs w:val="20"/>
                <w:lang w:val="fr-FR"/>
              </w:rPr>
            </w:pPr>
            <w:r w:rsidRPr="00BE5158">
              <w:rPr>
                <w:rFonts w:eastAsia="Calibri"/>
                <w:bCs/>
                <w:color w:val="000000"/>
                <w:sz w:val="20"/>
                <w:szCs w:val="20"/>
                <w:lang w:val="fr-FR"/>
              </w:rPr>
              <w:t xml:space="preserve">Début de l'asthme (premier diagnostic), enfants âgés de 0 à 18 ans </w:t>
            </w:r>
          </w:p>
          <w:p w:rsidR="00B13138" w:rsidRDefault="002444DC">
            <w:pPr>
              <w:numPr>
                <w:ilvl w:val="0"/>
                <w:numId w:val="38"/>
              </w:numPr>
              <w:spacing w:after="0" w:line="240" w:lineRule="auto"/>
              <w:contextualSpacing/>
              <w:rPr>
                <w:rFonts w:eastAsia="Calibri"/>
                <w:bCs/>
                <w:color w:val="000000"/>
                <w:sz w:val="20"/>
                <w:szCs w:val="20"/>
              </w:rPr>
            </w:pPr>
            <w:proofErr w:type="spellStart"/>
            <w:r w:rsidRPr="001A12C8">
              <w:rPr>
                <w:rFonts w:eastAsia="Calibri"/>
                <w:bCs/>
                <w:color w:val="000000"/>
                <w:sz w:val="20"/>
                <w:szCs w:val="20"/>
              </w:rPr>
              <w:t>Infarctus</w:t>
            </w:r>
            <w:proofErr w:type="spellEnd"/>
            <w:r w:rsidRPr="001A12C8">
              <w:rPr>
                <w:rFonts w:eastAsia="Calibri"/>
                <w:bCs/>
                <w:color w:val="000000"/>
                <w:sz w:val="20"/>
                <w:szCs w:val="20"/>
              </w:rPr>
              <w:t xml:space="preserve"> du </w:t>
            </w:r>
            <w:proofErr w:type="spellStart"/>
            <w:r w:rsidRPr="001A12C8">
              <w:rPr>
                <w:rFonts w:eastAsia="Calibri"/>
                <w:bCs/>
                <w:color w:val="000000"/>
                <w:sz w:val="20"/>
                <w:szCs w:val="20"/>
              </w:rPr>
              <w:t>myocarde</w:t>
            </w:r>
            <w:proofErr w:type="spellEnd"/>
            <w:r w:rsidRPr="001A12C8">
              <w:rPr>
                <w:rFonts w:eastAsia="Calibri"/>
                <w:bCs/>
                <w:color w:val="000000"/>
                <w:sz w:val="20"/>
                <w:szCs w:val="20"/>
              </w:rPr>
              <w:t xml:space="preserve"> non mortels</w:t>
            </w:r>
          </w:p>
          <w:p w:rsidR="00B13138" w:rsidRDefault="002444DC">
            <w:pPr>
              <w:numPr>
                <w:ilvl w:val="0"/>
                <w:numId w:val="38"/>
              </w:numPr>
              <w:spacing w:after="0" w:line="240" w:lineRule="auto"/>
              <w:contextualSpacing/>
              <w:rPr>
                <w:rFonts w:eastAsia="Calibri"/>
                <w:bCs/>
                <w:color w:val="000000"/>
                <w:sz w:val="20"/>
                <w:szCs w:val="20"/>
              </w:rPr>
            </w:pPr>
            <w:r w:rsidRPr="001A12C8">
              <w:rPr>
                <w:rFonts w:eastAsia="Calibri"/>
                <w:bCs/>
                <w:color w:val="000000"/>
                <w:sz w:val="20"/>
                <w:szCs w:val="20"/>
              </w:rPr>
              <w:t>Accident vasculaire cérébral non fatal</w:t>
            </w:r>
          </w:p>
          <w:p w:rsidR="00B13138" w:rsidRDefault="002444DC">
            <w:pPr>
              <w:spacing w:after="0" w:line="240" w:lineRule="auto"/>
              <w:rPr>
                <w:rFonts w:eastAsia="Calibri"/>
                <w:bCs/>
                <w:color w:val="000000"/>
                <w:sz w:val="20"/>
                <w:szCs w:val="20"/>
              </w:rPr>
            </w:pPr>
            <w:r w:rsidRPr="001A12C8">
              <w:rPr>
                <w:rFonts w:eastAsia="Calibri"/>
                <w:bCs/>
                <w:color w:val="000000"/>
                <w:sz w:val="20"/>
                <w:szCs w:val="20"/>
              </w:rPr>
              <w:t>Visites cliniques</w:t>
            </w:r>
          </w:p>
          <w:p w:rsidR="00B13138" w:rsidRPr="00BE5158" w:rsidRDefault="002444DC">
            <w:pPr>
              <w:numPr>
                <w:ilvl w:val="0"/>
                <w:numId w:val="38"/>
              </w:numPr>
              <w:spacing w:after="0" w:line="240" w:lineRule="auto"/>
              <w:contextualSpacing/>
              <w:rPr>
                <w:rFonts w:eastAsia="Calibri"/>
                <w:bCs/>
                <w:color w:val="000000"/>
                <w:sz w:val="20"/>
                <w:szCs w:val="20"/>
                <w:lang w:val="fr-FR"/>
              </w:rPr>
            </w:pPr>
            <w:r w:rsidRPr="00BE5158">
              <w:rPr>
                <w:rFonts w:eastAsia="Calibri"/>
                <w:bCs/>
                <w:color w:val="000000"/>
                <w:sz w:val="20"/>
                <w:szCs w:val="20"/>
                <w:lang w:val="fr-FR"/>
              </w:rPr>
              <w:t>Visites aux urgences pour exacerbations de l'asthme</w:t>
            </w:r>
          </w:p>
          <w:p w:rsidR="00B13138" w:rsidRPr="00BE5158" w:rsidRDefault="002444DC">
            <w:pPr>
              <w:numPr>
                <w:ilvl w:val="0"/>
                <w:numId w:val="38"/>
              </w:numPr>
              <w:spacing w:after="0" w:line="240" w:lineRule="auto"/>
              <w:contextualSpacing/>
              <w:rPr>
                <w:rFonts w:eastAsia="Calibri"/>
                <w:bCs/>
                <w:color w:val="000000"/>
                <w:sz w:val="20"/>
                <w:szCs w:val="20"/>
                <w:lang w:val="fr-FR"/>
              </w:rPr>
            </w:pPr>
            <w:r w:rsidRPr="00BE5158">
              <w:rPr>
                <w:rFonts w:eastAsia="Calibri"/>
                <w:bCs/>
                <w:color w:val="000000"/>
                <w:sz w:val="20"/>
                <w:szCs w:val="20"/>
                <w:lang w:val="fr-FR"/>
              </w:rPr>
              <w:t>Admissions à l'hôpital pour toutes les maladies respiratoires</w:t>
            </w:r>
          </w:p>
          <w:p w:rsidR="00B13138" w:rsidRPr="00BE5158" w:rsidRDefault="002444DC">
            <w:pPr>
              <w:numPr>
                <w:ilvl w:val="0"/>
                <w:numId w:val="38"/>
              </w:numPr>
              <w:spacing w:after="0" w:line="240" w:lineRule="auto"/>
              <w:contextualSpacing/>
              <w:rPr>
                <w:rFonts w:eastAsia="Calibri"/>
                <w:bCs/>
                <w:color w:val="000000"/>
                <w:sz w:val="20"/>
                <w:szCs w:val="20"/>
                <w:lang w:val="fr-FR"/>
              </w:rPr>
            </w:pPr>
            <w:r w:rsidRPr="00BE5158">
              <w:rPr>
                <w:rFonts w:eastAsia="Calibri"/>
                <w:bCs/>
                <w:color w:val="000000"/>
                <w:sz w:val="20"/>
                <w:szCs w:val="20"/>
                <w:lang w:val="fr-FR"/>
              </w:rPr>
              <w:t>Admissions à l'hôpital pour toutes les maladies cardiovasculaires</w:t>
            </w:r>
          </w:p>
        </w:tc>
      </w:tr>
      <w:tr w:rsidR="001A12C8" w:rsidRPr="00866CC6" w:rsidTr="001A12C8">
        <w:trPr>
          <w:trHeight w:val="374"/>
          <w:jc w:val="right"/>
        </w:trPr>
        <w:tc>
          <w:tcPr>
            <w:tcW w:w="9320" w:type="dxa"/>
            <w:gridSpan w:val="4"/>
            <w:shd w:val="clear" w:color="auto" w:fill="auto"/>
            <w:vAlign w:val="center"/>
          </w:tcPr>
          <w:p w:rsidR="00B13138" w:rsidRPr="00BE5158" w:rsidRDefault="002444DC">
            <w:pPr>
              <w:spacing w:after="0" w:line="240" w:lineRule="auto"/>
              <w:rPr>
                <w:rFonts w:eastAsia="Calibri"/>
                <w:bCs/>
                <w:color w:val="000000"/>
                <w:sz w:val="20"/>
                <w:szCs w:val="20"/>
                <w:lang w:val="fr-FR"/>
              </w:rPr>
            </w:pPr>
            <w:r w:rsidRPr="00BE5158">
              <w:rPr>
                <w:rFonts w:eastAsia="Calibri"/>
                <w:bCs/>
                <w:color w:val="000000"/>
                <w:sz w:val="20"/>
                <w:szCs w:val="20"/>
                <w:lang w:val="fr-FR"/>
              </w:rPr>
              <w:t xml:space="preserve">*Toutes les demandes concernent l'agglomération urbaine ou la mégapole, pour les </w:t>
            </w:r>
            <w:r w:rsidR="002477A4" w:rsidRPr="00BE5158">
              <w:rPr>
                <w:rFonts w:eastAsia="Calibri"/>
                <w:bCs/>
                <w:color w:val="000000"/>
                <w:sz w:val="20"/>
                <w:szCs w:val="20"/>
                <w:lang w:val="fr-FR"/>
              </w:rPr>
              <w:t>années disponibles les plus récentes.</w:t>
            </w:r>
          </w:p>
        </w:tc>
      </w:tr>
    </w:tbl>
    <w:p w:rsidR="001A12C8" w:rsidRPr="00BE5158" w:rsidRDefault="001A12C8" w:rsidP="001A12C8">
      <w:pPr>
        <w:rPr>
          <w:lang w:val="fr-FR"/>
        </w:rPr>
      </w:pPr>
      <w:bookmarkStart w:id="4" w:name="_GoBack"/>
      <w:bookmarkEnd w:id="4"/>
    </w:p>
    <w:p w:rsidR="001A12C8" w:rsidRPr="00BE5158" w:rsidRDefault="001A12C8" w:rsidP="001A12C8">
      <w:pPr>
        <w:rPr>
          <w:lang w:val="fr-FR"/>
        </w:rPr>
      </w:pPr>
    </w:p>
    <w:p w:rsidR="001A12C8" w:rsidRPr="00BE5158" w:rsidRDefault="001A12C8">
      <w:pPr>
        <w:rPr>
          <w:rFonts w:eastAsia="Calibri"/>
          <w:i/>
          <w:iCs/>
          <w:sz w:val="24"/>
          <w:szCs w:val="24"/>
          <w:lang w:val="fr-FR"/>
        </w:rPr>
      </w:pPr>
    </w:p>
    <w:sectPr w:rsidR="001A12C8" w:rsidRPr="00BE5158" w:rsidSect="001F4064">
      <w:headerReference w:type="default" r:id="rId12"/>
      <w:footerReference w:type="default" r:id="rId13"/>
      <w:headerReference w:type="first" r:id="rId14"/>
      <w:footerReference w:type="first" r:id="rId15"/>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B4" w:rsidRDefault="006E0DB4" w:rsidP="00E96485">
      <w:r>
        <w:separator/>
      </w:r>
    </w:p>
    <w:p w:rsidR="006E0DB4" w:rsidRDefault="006E0DB4"/>
  </w:endnote>
  <w:endnote w:type="continuationSeparator" w:id="0">
    <w:p w:rsidR="006E0DB4" w:rsidRDefault="006E0DB4" w:rsidP="00E96485">
      <w:r>
        <w:continuationSeparator/>
      </w:r>
    </w:p>
    <w:p w:rsidR="006E0DB4" w:rsidRDefault="006E0DB4"/>
  </w:endnote>
  <w:endnote w:type="continuationNotice" w:id="1">
    <w:p w:rsidR="006E0DB4" w:rsidRDefault="006E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TFangsong">
    <w:altName w:val="华文仿宋"/>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4467"/>
      <w:docPartObj>
        <w:docPartGallery w:val="Page Numbers (Bottom of Page)"/>
        <w:docPartUnique/>
      </w:docPartObj>
    </w:sdtPr>
    <w:sdtEndPr>
      <w:rPr>
        <w:noProof/>
      </w:rPr>
    </w:sdtEndPr>
    <w:sdtContent>
      <w:p w:rsidR="00B13138" w:rsidRDefault="002444DC">
        <w:pPr>
          <w:pStyle w:val="Footer"/>
          <w:jc w:val="center"/>
        </w:pPr>
        <w:r w:rsidRPr="00C70EBD">
          <w:rPr>
            <w:noProof/>
            <w:color w:val="808080" w:themeColor="background1" w:themeShade="80"/>
            <w:lang w:val="en-ZA" w:eastAsia="zh-CN"/>
          </w:rPr>
          <mc:AlternateContent>
            <mc:Choice Requires="wps">
              <w:drawing>
                <wp:anchor distT="0" distB="0" distL="114300" distR="114300" simplePos="0" relativeHeight="251684864" behindDoc="0" locked="0" layoutInCell="1" allowOverlap="1" wp14:anchorId="26E5D887" wp14:editId="2DBBDE03">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Straight Connector 3"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from="0,-9.7pt" to="470.25pt,-8.95pt" w14:anchorId="5E64F7CE">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47289"/>
      <w:docPartObj>
        <w:docPartGallery w:val="Page Numbers (Bottom of Page)"/>
        <w:docPartUnique/>
      </w:docPartObj>
    </w:sdtPr>
    <w:sdtEndPr>
      <w:rPr>
        <w:noProof/>
      </w:rPr>
    </w:sdtEndPr>
    <w:sdtContent>
      <w:p w:rsidR="00B13138" w:rsidRDefault="002444DC">
        <w:pPr>
          <w:pStyle w:val="Footer"/>
          <w:jc w:val="center"/>
        </w:pPr>
        <w:r w:rsidRPr="00A22E01">
          <w:rPr>
            <w:noProof/>
            <w:color w:val="808080"/>
            <w:lang w:val="en-ZA" w:eastAsia="zh-CN"/>
          </w:rPr>
          <mc:AlternateContent>
            <mc:Choice Requires="wps">
              <w:drawing>
                <wp:anchor distT="0" distB="0" distL="114300" distR="114300" simplePos="0" relativeHeight="251686912" behindDoc="0" locked="0" layoutInCell="1" allowOverlap="1" wp14:anchorId="3D311A5F" wp14:editId="21985578">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Straight Connector 5"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from="0,-9.7pt" to="470.25pt,-8.95pt" w14:anchorId="05AAC5D0">
                  <w10:wrap anchorx="margin"/>
                </v:line>
              </w:pict>
            </mc:Fallback>
          </mc:AlternateContent>
        </w:r>
        <w:r>
          <w:fldChar w:fldCharType="begin"/>
        </w:r>
        <w:r>
          <w:instrText xml:space="preserve"> PAGE   \* MERGEFORMAT </w:instrText>
        </w:r>
        <w:r>
          <w:fldChar w:fldCharType="separate"/>
        </w:r>
        <w:r w:rsidR="00866CC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72262"/>
      <w:docPartObj>
        <w:docPartGallery w:val="Page Numbers (Bottom of Page)"/>
        <w:docPartUnique/>
      </w:docPartObj>
    </w:sdtPr>
    <w:sdtEndPr>
      <w:rPr>
        <w:noProof/>
      </w:rPr>
    </w:sdtEndPr>
    <w:sdtContent>
      <w:p w:rsidR="00B13138" w:rsidRDefault="002444DC">
        <w:pPr>
          <w:pStyle w:val="Footer"/>
          <w:jc w:val="center"/>
        </w:pPr>
        <w:r w:rsidRPr="00A22E01">
          <w:rPr>
            <w:noProof/>
            <w:color w:val="808080"/>
            <w:lang w:val="en-ZA" w:eastAsia="zh-CN"/>
          </w:rPr>
          <mc:AlternateContent>
            <mc:Choice Requires="wps">
              <w:drawing>
                <wp:anchor distT="0" distB="0" distL="114300" distR="114300" simplePos="0" relativeHeight="251673600" behindDoc="0" locked="0" layoutInCell="1" allowOverlap="1" wp14:anchorId="377C065E" wp14:editId="474B4009">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00808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from="419.05pt,-10.25pt" to="889.3pt,-9.5pt" w14:anchorId="216F3411">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B4" w:rsidRDefault="006E0DB4" w:rsidP="00E96485">
      <w:r>
        <w:separator/>
      </w:r>
    </w:p>
  </w:footnote>
  <w:footnote w:type="continuationSeparator" w:id="0">
    <w:p w:rsidR="006E0DB4" w:rsidRDefault="006E0DB4" w:rsidP="00E96485">
      <w:r>
        <w:continuationSeparator/>
      </w:r>
    </w:p>
    <w:p w:rsidR="006E0DB4" w:rsidRDefault="006E0DB4"/>
  </w:footnote>
  <w:footnote w:type="continuationNotice" w:id="1">
    <w:p w:rsidR="006E0DB4" w:rsidRDefault="006E0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38" w:rsidRPr="00BE5158" w:rsidRDefault="002444DC">
    <w:pPr>
      <w:pStyle w:val="Header"/>
      <w:ind w:left="1260"/>
      <w:rPr>
        <w:rFonts w:asciiTheme="minorHAnsi" w:hAnsiTheme="minorHAnsi"/>
        <w:b/>
        <w:bCs/>
        <w:color w:val="008085"/>
        <w:sz w:val="24"/>
        <w:szCs w:val="24"/>
        <w:lang w:val="fr-FR"/>
      </w:rPr>
    </w:pPr>
    <w:r w:rsidRPr="00E96485">
      <w:rPr>
        <w:rFonts w:asciiTheme="minorHAnsi" w:hAnsiTheme="minorHAnsi"/>
        <w:b/>
        <w:bCs/>
        <w:noProof/>
        <w:color w:val="008085"/>
        <w:sz w:val="24"/>
        <w:szCs w:val="24"/>
        <w:lang w:val="en-ZA" w:eastAsia="zh-CN"/>
      </w:rPr>
      <w:drawing>
        <wp:anchor distT="0" distB="0" distL="114300" distR="114300" simplePos="0" relativeHeight="251688960" behindDoc="0" locked="0" layoutInCell="1" allowOverlap="1" wp14:anchorId="2B139239" wp14:editId="3C943E38">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 xmlns:adec="http://schemas.microsoft.com/office/drawing/2017/decorativ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BE5158">
      <w:rPr>
        <w:rFonts w:asciiTheme="minorHAnsi" w:hAnsiTheme="minorHAnsi"/>
        <w:b/>
        <w:bCs/>
        <w:color w:val="008085"/>
        <w:sz w:val="24"/>
        <w:szCs w:val="24"/>
        <w:lang w:val="fr-FR"/>
      </w:rPr>
      <w:t>PARTENARIAT AVEC LES MÉGAPOLES</w:t>
    </w:r>
  </w:p>
  <w:p w:rsidR="00B13138" w:rsidRPr="00BE5158" w:rsidRDefault="002444DC">
    <w:pPr>
      <w:pStyle w:val="Header"/>
      <w:ind w:left="1260"/>
      <w:rPr>
        <w:lang w:val="fr-FR"/>
      </w:rPr>
    </w:pPr>
    <w:r w:rsidRPr="00C70EBD">
      <w:rPr>
        <w:noProof/>
        <w:lang w:val="en-ZA" w:eastAsia="zh-CN"/>
      </w:rPr>
      <mc:AlternateContent>
        <mc:Choice Requires="wps">
          <w:drawing>
            <wp:anchor distT="0" distB="0" distL="114300" distR="114300" simplePos="0" relativeHeight="251689984" behindDoc="0" locked="0" layoutInCell="1" allowOverlap="1" wp14:anchorId="4DFB9B2B" wp14:editId="1B40D782">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Straight Connector 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from="57.75pt,21.75pt" to="470.25pt,21.75pt" w14:anchorId="3C724B1E"/>
          </w:pict>
        </mc:Fallback>
      </mc:AlternateContent>
    </w:r>
    <w:r w:rsidRPr="00BE5158">
      <w:rPr>
        <w:lang w:val="fr-FR"/>
      </w:rPr>
      <w:t xml:space="preserve">Demande de données sur les services de santé </w:t>
    </w:r>
    <w:r w:rsidR="00BC53A6" w:rsidRPr="00BE5158">
      <w:rPr>
        <w:lang w:val="fr-FR"/>
      </w:rPr>
      <w:t xml:space="preserve">humaine </w:t>
    </w:r>
    <w:r w:rsidR="00314305" w:rsidRPr="00BE5158">
      <w:rPr>
        <w:lang w:val="fr-FR"/>
      </w:rPr>
      <w:tab/>
    </w:r>
    <w:r w:rsidRPr="00BE5158">
      <w:rPr>
        <w:lang w:val="fr-FR"/>
      </w:rPr>
      <w:tab/>
    </w:r>
    <w:r w:rsidR="00BC53A6" w:rsidRPr="00BE5158">
      <w:rPr>
        <w:lang w:val="fr-FR"/>
      </w:rPr>
      <w:t xml:space="preserve">Mai </w:t>
    </w:r>
    <w:r w:rsidR="00D047ED" w:rsidRPr="00BE5158">
      <w:rPr>
        <w:lang w:val="fr-FR"/>
      </w:rPr>
      <w:t>2021</w:t>
    </w:r>
  </w:p>
  <w:p w:rsidR="00402F33" w:rsidRPr="00BE5158" w:rsidRDefault="00402F3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38" w:rsidRPr="00BE5158" w:rsidRDefault="002444DC">
    <w:pPr>
      <w:pStyle w:val="Header"/>
      <w:ind w:left="1260"/>
      <w:rPr>
        <w:b/>
        <w:bCs/>
        <w:color w:val="008085"/>
        <w:sz w:val="24"/>
        <w:szCs w:val="24"/>
        <w:lang w:val="fr-FR"/>
      </w:rPr>
    </w:pPr>
    <w:r w:rsidRPr="00A22E01">
      <w:rPr>
        <w:b/>
        <w:bCs/>
        <w:noProof/>
        <w:color w:val="008085"/>
        <w:sz w:val="24"/>
        <w:szCs w:val="24"/>
        <w:lang w:val="en-ZA" w:eastAsia="zh-CN"/>
      </w:rPr>
      <w:drawing>
        <wp:anchor distT="0" distB="0" distL="114300" distR="114300" simplePos="0" relativeHeight="251675648" behindDoc="0" locked="0" layoutInCell="1" allowOverlap="1" wp14:anchorId="0600A723" wp14:editId="2CE47C1A">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BE5158">
      <w:rPr>
        <w:b/>
        <w:bCs/>
        <w:color w:val="008085"/>
        <w:sz w:val="24"/>
        <w:szCs w:val="24"/>
        <w:lang w:val="fr-FR"/>
      </w:rPr>
      <w:t>PARTENARIAT AVEC LES MÉGAPOLES</w:t>
    </w:r>
  </w:p>
  <w:p w:rsidR="00B13138" w:rsidRPr="00BE5158" w:rsidRDefault="002444DC">
    <w:pPr>
      <w:pStyle w:val="Header"/>
      <w:ind w:left="1260"/>
      <w:rPr>
        <w:lang w:val="fr-FR"/>
      </w:rPr>
    </w:pPr>
    <w:r w:rsidRPr="00C70EBD">
      <w:rPr>
        <w:noProof/>
        <w:lang w:val="en-ZA" w:eastAsia="zh-CN"/>
      </w:rPr>
      <mc:AlternateContent>
        <mc:Choice Requires="wps">
          <w:drawing>
            <wp:anchor distT="0" distB="0" distL="114300" distR="114300" simplePos="0" relativeHeight="251676672" behindDoc="0" locked="0" layoutInCell="1" allowOverlap="1" wp14:anchorId="65AC4E76" wp14:editId="6C139BC2">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from="57.75pt,21.75pt" to="470.25pt,21.75pt" w14:anchorId="3611C452"/>
          </w:pict>
        </mc:Fallback>
      </mc:AlternateContent>
    </w:r>
    <w:r w:rsidRPr="00BE5158">
      <w:rPr>
        <w:lang w:val="fr-FR"/>
      </w:rPr>
      <w:t xml:space="preserve">RAPPORT D'INCEPTION // Plan de travail du projet </w:t>
    </w:r>
    <w:r w:rsidRPr="00BE5158">
      <w:rPr>
        <w:lang w:val="fr-FR"/>
      </w:rPr>
      <w:tab/>
    </w:r>
    <w:r>
      <w:fldChar w:fldCharType="begin"/>
    </w:r>
    <w:r>
      <w:instrText xml:space="preserve">date \@ "MMMM" "YYYY"  </w:instrText>
    </w:r>
    <w:r>
      <w:fldChar w:fldCharType="separate"/>
    </w:r>
    <w:r w:rsidR="00866CC6">
      <w:rPr>
        <w:noProof/>
      </w:rPr>
      <w:t>January</w:t>
    </w:r>
    <w:r>
      <w:fldChar w:fldCharType="end"/>
    </w:r>
    <w:r w:rsidRPr="00BE5158">
      <w:rPr>
        <w:lang w:val="fr-FR"/>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F6124"/>
    <w:multiLevelType w:val="hybridMultilevel"/>
    <w:tmpl w:val="F408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1"/>
  </w:num>
  <w:num w:numId="4">
    <w:abstractNumId w:val="27"/>
  </w:num>
  <w:num w:numId="5">
    <w:abstractNumId w:val="38"/>
  </w:num>
  <w:num w:numId="6">
    <w:abstractNumId w:val="35"/>
  </w:num>
  <w:num w:numId="7">
    <w:abstractNumId w:val="32"/>
  </w:num>
  <w:num w:numId="8">
    <w:abstractNumId w:val="28"/>
  </w:num>
  <w:num w:numId="9">
    <w:abstractNumId w:val="21"/>
  </w:num>
  <w:num w:numId="10">
    <w:abstractNumId w:val="7"/>
  </w:num>
  <w:num w:numId="11">
    <w:abstractNumId w:val="33"/>
  </w:num>
  <w:num w:numId="12">
    <w:abstractNumId w:val="6"/>
  </w:num>
  <w:num w:numId="13">
    <w:abstractNumId w:val="20"/>
  </w:num>
  <w:num w:numId="14">
    <w:abstractNumId w:val="37"/>
  </w:num>
  <w:num w:numId="15">
    <w:abstractNumId w:val="9"/>
  </w:num>
  <w:num w:numId="16">
    <w:abstractNumId w:val="14"/>
  </w:num>
  <w:num w:numId="17">
    <w:abstractNumId w:val="15"/>
  </w:num>
  <w:num w:numId="18">
    <w:abstractNumId w:val="25"/>
  </w:num>
  <w:num w:numId="19">
    <w:abstractNumId w:val="13"/>
  </w:num>
  <w:num w:numId="20">
    <w:abstractNumId w:val="34"/>
  </w:num>
  <w:num w:numId="21">
    <w:abstractNumId w:val="3"/>
  </w:num>
  <w:num w:numId="22">
    <w:abstractNumId w:val="2"/>
  </w:num>
  <w:num w:numId="23">
    <w:abstractNumId w:val="8"/>
  </w:num>
  <w:num w:numId="24">
    <w:abstractNumId w:val="26"/>
  </w:num>
  <w:num w:numId="25">
    <w:abstractNumId w:val="10"/>
  </w:num>
  <w:num w:numId="26">
    <w:abstractNumId w:val="29"/>
  </w:num>
  <w:num w:numId="27">
    <w:abstractNumId w:val="4"/>
  </w:num>
  <w:num w:numId="28">
    <w:abstractNumId w:val="16"/>
  </w:num>
  <w:num w:numId="29">
    <w:abstractNumId w:val="11"/>
  </w:num>
  <w:num w:numId="30">
    <w:abstractNumId w:val="30"/>
  </w:num>
  <w:num w:numId="31">
    <w:abstractNumId w:val="1"/>
  </w:num>
  <w:num w:numId="32">
    <w:abstractNumId w:val="23"/>
  </w:num>
  <w:num w:numId="33">
    <w:abstractNumId w:val="5"/>
  </w:num>
  <w:num w:numId="34">
    <w:abstractNumId w:val="19"/>
  </w:num>
  <w:num w:numId="35">
    <w:abstractNumId w:val="12"/>
  </w:num>
  <w:num w:numId="36">
    <w:abstractNumId w:val="0"/>
  </w:num>
  <w:num w:numId="37">
    <w:abstractNumId w:val="24"/>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A5"/>
    <w:rsid w:val="000168A5"/>
    <w:rsid w:val="00022E94"/>
    <w:rsid w:val="00036946"/>
    <w:rsid w:val="00086F4A"/>
    <w:rsid w:val="000A374B"/>
    <w:rsid w:val="000B5494"/>
    <w:rsid w:val="000C4752"/>
    <w:rsid w:val="000D0E2D"/>
    <w:rsid w:val="000D3491"/>
    <w:rsid w:val="000F299B"/>
    <w:rsid w:val="00110C38"/>
    <w:rsid w:val="00130F67"/>
    <w:rsid w:val="00145CC5"/>
    <w:rsid w:val="00160181"/>
    <w:rsid w:val="001740AA"/>
    <w:rsid w:val="00193DCC"/>
    <w:rsid w:val="001978F3"/>
    <w:rsid w:val="001A12C8"/>
    <w:rsid w:val="001B3B77"/>
    <w:rsid w:val="001B4B1D"/>
    <w:rsid w:val="001D5858"/>
    <w:rsid w:val="001D7D50"/>
    <w:rsid w:val="001F4064"/>
    <w:rsid w:val="001F5D10"/>
    <w:rsid w:val="00214969"/>
    <w:rsid w:val="0022443E"/>
    <w:rsid w:val="00226B01"/>
    <w:rsid w:val="002444DC"/>
    <w:rsid w:val="002472F0"/>
    <w:rsid w:val="002477A4"/>
    <w:rsid w:val="00264C1C"/>
    <w:rsid w:val="00314305"/>
    <w:rsid w:val="00350535"/>
    <w:rsid w:val="00386CBF"/>
    <w:rsid w:val="003A07E8"/>
    <w:rsid w:val="003A2624"/>
    <w:rsid w:val="003A6491"/>
    <w:rsid w:val="003D575E"/>
    <w:rsid w:val="003D6150"/>
    <w:rsid w:val="00402F33"/>
    <w:rsid w:val="00407522"/>
    <w:rsid w:val="00421564"/>
    <w:rsid w:val="00422D71"/>
    <w:rsid w:val="00452EB1"/>
    <w:rsid w:val="00471F1C"/>
    <w:rsid w:val="004E6031"/>
    <w:rsid w:val="0050571B"/>
    <w:rsid w:val="0051543C"/>
    <w:rsid w:val="005306C3"/>
    <w:rsid w:val="00556419"/>
    <w:rsid w:val="00562EDB"/>
    <w:rsid w:val="0056754B"/>
    <w:rsid w:val="005709A5"/>
    <w:rsid w:val="005A07E9"/>
    <w:rsid w:val="005E1BA2"/>
    <w:rsid w:val="00626109"/>
    <w:rsid w:val="0064044A"/>
    <w:rsid w:val="00650930"/>
    <w:rsid w:val="00651125"/>
    <w:rsid w:val="006512E6"/>
    <w:rsid w:val="00683997"/>
    <w:rsid w:val="006C0424"/>
    <w:rsid w:val="006E0DB4"/>
    <w:rsid w:val="006E3B91"/>
    <w:rsid w:val="0072593F"/>
    <w:rsid w:val="00747CC2"/>
    <w:rsid w:val="00755C23"/>
    <w:rsid w:val="00760038"/>
    <w:rsid w:val="007B6B2E"/>
    <w:rsid w:val="007C3102"/>
    <w:rsid w:val="007C64DF"/>
    <w:rsid w:val="008462FF"/>
    <w:rsid w:val="00866CC6"/>
    <w:rsid w:val="00886C39"/>
    <w:rsid w:val="008D0189"/>
    <w:rsid w:val="008D5546"/>
    <w:rsid w:val="008E1257"/>
    <w:rsid w:val="009151C5"/>
    <w:rsid w:val="009A341F"/>
    <w:rsid w:val="009A47F3"/>
    <w:rsid w:val="009C7AE0"/>
    <w:rsid w:val="009E0EF1"/>
    <w:rsid w:val="009F3676"/>
    <w:rsid w:val="00A0485C"/>
    <w:rsid w:val="00A05C25"/>
    <w:rsid w:val="00A22E01"/>
    <w:rsid w:val="00AA10C6"/>
    <w:rsid w:val="00AB2073"/>
    <w:rsid w:val="00AC270E"/>
    <w:rsid w:val="00B13138"/>
    <w:rsid w:val="00B227C0"/>
    <w:rsid w:val="00B63392"/>
    <w:rsid w:val="00B8337C"/>
    <w:rsid w:val="00B86F01"/>
    <w:rsid w:val="00B94C7D"/>
    <w:rsid w:val="00BA423A"/>
    <w:rsid w:val="00BB5E9C"/>
    <w:rsid w:val="00BC53A6"/>
    <w:rsid w:val="00BE5158"/>
    <w:rsid w:val="00C70EBD"/>
    <w:rsid w:val="00C728FE"/>
    <w:rsid w:val="00C73BC7"/>
    <w:rsid w:val="00C84B50"/>
    <w:rsid w:val="00CB22D0"/>
    <w:rsid w:val="00D041B3"/>
    <w:rsid w:val="00D047ED"/>
    <w:rsid w:val="00D2066F"/>
    <w:rsid w:val="00D21BF3"/>
    <w:rsid w:val="00D60E00"/>
    <w:rsid w:val="00D62F01"/>
    <w:rsid w:val="00DB3DD6"/>
    <w:rsid w:val="00DE7FAB"/>
    <w:rsid w:val="00E0081D"/>
    <w:rsid w:val="00E03DFC"/>
    <w:rsid w:val="00E25CB3"/>
    <w:rsid w:val="00E43EB0"/>
    <w:rsid w:val="00E509F4"/>
    <w:rsid w:val="00E676DB"/>
    <w:rsid w:val="00E71570"/>
    <w:rsid w:val="00E96485"/>
    <w:rsid w:val="00EA1B67"/>
    <w:rsid w:val="00EA6EF2"/>
    <w:rsid w:val="00EB0161"/>
    <w:rsid w:val="00EB1E35"/>
    <w:rsid w:val="00EB4104"/>
    <w:rsid w:val="00EC2D6C"/>
    <w:rsid w:val="00F02755"/>
    <w:rsid w:val="00F12E80"/>
    <w:rsid w:val="00F13CB4"/>
    <w:rsid w:val="00F44F89"/>
    <w:rsid w:val="00F70293"/>
    <w:rsid w:val="00F932BE"/>
    <w:rsid w:val="00F96D7D"/>
    <w:rsid w:val="00FA3F5D"/>
    <w:rsid w:val="00FB465D"/>
    <w:rsid w:val="00FD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9F2D"/>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styleId="Revision">
    <w:name w:val="Revision"/>
    <w:hidden/>
    <w:uiPriority w:val="99"/>
    <w:semiHidden/>
    <w:rsid w:val="00B94C7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579A-D0A3-4E04-982C-28D12BBD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Megacities Partnership: Health Services Data Request</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Health Services Data Request</dc:title>
  <dc:subject>Megacities Partnership</dc:subject>
  <dc:creator>EPA</dc:creator>
  <cp:keywords>Megacities Partnership, health services, data request, air quality, docId:0959C6D5924F6C00DA9897D7520A428B</cp:keywords>
  <dc:description/>
  <cp:lastModifiedBy>Aida Diop</cp:lastModifiedBy>
  <cp:revision>7</cp:revision>
  <cp:lastPrinted>2019-09-11T13:24:00Z</cp:lastPrinted>
  <dcterms:created xsi:type="dcterms:W3CDTF">2021-05-14T13:46:00Z</dcterms:created>
  <dcterms:modified xsi:type="dcterms:W3CDTF">2023-01-20T12:04:00Z</dcterms:modified>
  <cp:category/>
</cp:coreProperties>
</file>